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明光市应急管理局2021年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本报告由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明光市应急管理局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根据《中华人民共和国政府信息公开条例》（国令第711号）（以下简称《条例》）规定编制。本报告中所列数据的统计期限自2021年1月1日起至2021年12月31日止。如对本报告有疑问，请与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明光市应急管理局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办公室联系（地址：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明光市龙山东路109号1506室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，邮编：239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00，电话：0550-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8023750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，电子邮箱：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mgsawb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@163.com）。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明光市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应急局政府信息公开工作在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市委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政府的正确领导下，立足工作实际，深化细化政务公开工作任务，加大公开力度透明度，对局各项决策、执行、管理、服务、结果进行公示公开。建立健全政务公开体制机制，严格落实主动公开要求，完善依申请公开流程，提升公开质量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优化政策解读内容，加大政策回应力度、速度、准确度，深化安全生产和救灾重点领域信息公开，提升公开水平。全局全年公开政府信息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27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397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应急局按照《条例》要求，坚持“公开为原则，不公开为例外”，积极做好主动公开工作。202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年，累计主动公开政府信息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397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条。其中，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行政权力运行类125条，政策类（含解读、回应、规划）类130条，应急管理类81条，其他信息61条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根据条例完善依申请公开制度和公开指南，规范政府信息依申请公开的受理、审查、处理、答复等各环节的工作流程，做好合法性审查，确保答复时限和答复内容的依法依规。同时不断加强工作人员的培训和学习，切实增强业务能力。202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年，未收到信息公开申请。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（三）政府信息管理工作情况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建立信息平台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机制，严格落实局网站与和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政府信息公开平台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应急局栏目的信息更新要求，及时发布安全生产和应急管理工作相关信息。坚持“谁起草、谁解读”原则，建立行政性规范文件与解读方案、材料同步组织、同步审查机制，围绕公众关心事项不断加强政策解读，今年以来共累计发布政策解读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篇。落实应急值班制度，及时发布准确权威信息，确保第一时间回应关切，消除不良影响。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（四）监督保障情况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党委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将政务公开工作作为重要事项列入议事日程，明确政务公开分管领导，压实工作责任，坚持常抓常议。及时调整充实网站维护人员，明确各股室职责、主动公开的事项、依申请公开的各项规定程序，并按要求指定专人负责同步更新局政务公开网站。加强业务培训。积极参加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政务公开办举行的业务培训，提升了业务水平，严格执行信息公开审查要求，定期通报网站公开自查情况，专人督促整改落实。持续抓好条例宣传。安排专题学习《条例》，让广大干部职工加深了解政府信息公开的重要性和必要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（五）贯彻落实《中华人民共和国政府信息公开条例》情况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认真抓好新《条例》的落实，我局认真学习《中华人民共和国政府信息公开条例》，不断提升信息公开意识。常态化开展学习，通过线上线下相结合的方法及时向政务公开办请教、学习政务公开相关业务，线上针对政务公开突出问题进行集中学习，线下集中时间，积极参加“面对面”的培训，从而提升政务公开工作人员的业务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（六）平台建设情况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充分发挥网站第一平台作用，按照新的要求，及时调整公开栏目，进一步优化网站功能加强门户网站建设，严格落实常态化维护机制，做好日常信息更新和平台管理工作。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</w:t>
            </w: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1230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default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应急局政府信息公开工作虽取得了一定成绩，但仍存在问题与不足，主要表现在：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部分主动公开的信息内容还不够完善、准确。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仍存在信息公开不及时现象；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工作人员业务能力有待提高；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在部分重点领域信息公开程度仍需进一步拓展。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下一步，我局将进一步深化思想认识、增强公开意识、落实工作责任，从以下四个方面认真加以改进：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要把信息公开作为一项长期的工作，坚定不移地做好。把其作为服务社会、服务群众的重要途径，与局中心工作结合起来，做到制度完善、责任到人、落实落细，建立起各负其责、协调运转的政府信息公开长效机制。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进一步增强依法公开，主动公开意识。持续完善政务公开制度和相关措施，严格按照《条例》办事，不断提高政务公开水平。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要继续开展对政府信息公开工作的宣传和教育。组织机关工作人员学习《条例》，切实提高对政府信息公开重大意义的认识，不断深化公开理念。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sz w:val="32"/>
          <w:szCs w:val="27"/>
          <w:shd w:val="clear" w:fill="FFFFFF"/>
          <w14:textFill>
            <w14:solidFill>
              <w14:schemeClr w14:val="tx1"/>
            </w14:solidFill>
          </w14:textFill>
        </w:rPr>
        <w:t>加强自查自纠，不断完善政务公开内容。建立公开信息定期排查制度，在公开信息上求真求实求细，使政务公开工作切实达到促廉政、树形象、展作风的效果，推动应急管理工作各项目标任务的圆满完成。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32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kern w:val="0"/>
          <w:sz w:val="32"/>
          <w:szCs w:val="27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i w:val="0"/>
          <w:iCs w:val="0"/>
          <w:caps w:val="0"/>
          <w:color w:val="000000" w:themeColor="text1"/>
          <w:spacing w:val="0"/>
          <w:kern w:val="0"/>
          <w:sz w:val="32"/>
          <w:szCs w:val="27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36844"/>
    <w:rsid w:val="12D55BB4"/>
    <w:rsid w:val="2DD85BEB"/>
    <w:rsid w:val="3F4356D7"/>
    <w:rsid w:val="41CC554C"/>
    <w:rsid w:val="4FE36844"/>
    <w:rsid w:val="62CD659E"/>
    <w:rsid w:val="6D9F69C0"/>
    <w:rsid w:val="6E23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WPS_1617844191</cp:lastModifiedBy>
  <dcterms:modified xsi:type="dcterms:W3CDTF">2022-01-26T07:38:52Z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53FCD0B180DD448FB17FF668CD900C87</vt:lpwstr>
  </property>
</Properties>
</file>