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val="en-US" w:eastAsia="zh-CN"/>
        </w:rPr>
        <w:t>市城管执法局2021年</w:t>
      </w: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政府信息公开工作年报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iCs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根据《中华人民共和国政府信息公开条例》、《国务院办公厅政府信息与政务公开办公室关于印发《中华人民共和国政府信息公开工作年度报告格式》的通知》（国办公开办函〔2021〕30号）和省、滁州市、明光市有关工作要求，特向社会公布2021年度明光市城管执法局政府信息公开工作年度报告。全文包括总体情况、主动公开政府信息情况、收到和处理政府信息公开申请情况、政府信息公开行政复议、行政诉讼情况、存在的主要问题及改进情况和其他需要报告的事项。本报告所列数据的统计时限自2021年1月1日起至2021年12月31日止。本年度报告电子版可通过明光市人民政府网站（http://www.mingguang.gov.cn/）查阅或下载。如对本报告有疑问，可与市明光市城管执法局人事教育股联系（地址：安徽省明光市龙山路202号，邮编：239400，电话：0550-8109530，电子邮箱：</w:t>
      </w:r>
      <w:r>
        <w:rPr>
          <w:rFonts w:hint="eastAsia" w:ascii="仿宋_GB2312" w:hAnsi="仿宋_GB2312" w:eastAsia="仿宋_GB2312" w:cs="仿宋_GB2312"/>
          <w:i w:val="0"/>
          <w:iCs w:val="0"/>
          <w:caps w:val="0"/>
          <w:color w:val="auto"/>
          <w:spacing w:val="0"/>
          <w:sz w:val="32"/>
          <w:szCs w:val="32"/>
          <w:u w:val="none"/>
          <w:shd w:val="clear" w:fill="FFFFFF"/>
        </w:rPr>
        <w:fldChar w:fldCharType="begin"/>
      </w:r>
      <w:r>
        <w:rPr>
          <w:rFonts w:hint="eastAsia" w:ascii="仿宋_GB2312" w:hAnsi="仿宋_GB2312" w:eastAsia="仿宋_GB2312" w:cs="仿宋_GB2312"/>
          <w:i w:val="0"/>
          <w:iCs w:val="0"/>
          <w:caps w:val="0"/>
          <w:color w:val="auto"/>
          <w:spacing w:val="0"/>
          <w:sz w:val="32"/>
          <w:szCs w:val="32"/>
          <w:u w:val="none"/>
          <w:shd w:val="clear" w:fill="FFFFFF"/>
        </w:rPr>
        <w:instrText xml:space="preserve"> HYPERLINK "mailto:mgcgzfjbgs@163.com）。" </w:instrText>
      </w:r>
      <w:r>
        <w:rPr>
          <w:rFonts w:hint="eastAsia" w:ascii="仿宋_GB2312" w:hAnsi="仿宋_GB2312" w:eastAsia="仿宋_GB2312" w:cs="仿宋_GB2312"/>
          <w:i w:val="0"/>
          <w:iCs w:val="0"/>
          <w:caps w:val="0"/>
          <w:color w:val="auto"/>
          <w:spacing w:val="0"/>
          <w:sz w:val="32"/>
          <w:szCs w:val="32"/>
          <w:u w:val="none"/>
          <w:shd w:val="clear" w:fill="FFFFFF"/>
        </w:rPr>
        <w:fldChar w:fldCharType="separate"/>
      </w:r>
      <w:r>
        <w:rPr>
          <w:rStyle w:val="7"/>
          <w:rFonts w:hint="eastAsia" w:ascii="仿宋_GB2312" w:hAnsi="仿宋_GB2312" w:eastAsia="仿宋_GB2312" w:cs="仿宋_GB2312"/>
          <w:i w:val="0"/>
          <w:iCs w:val="0"/>
          <w:caps w:val="0"/>
          <w:color w:val="auto"/>
          <w:spacing w:val="0"/>
          <w:sz w:val="32"/>
          <w:szCs w:val="32"/>
          <w:u w:val="none"/>
          <w:shd w:val="clear" w:fill="FFFFFF"/>
        </w:rPr>
        <w:t>mgcgzfjbgs@163.com）。</w:t>
      </w:r>
      <w:r>
        <w:rPr>
          <w:rFonts w:hint="eastAsia" w:ascii="仿宋_GB2312" w:hAnsi="仿宋_GB2312" w:eastAsia="仿宋_GB2312" w:cs="仿宋_GB2312"/>
          <w:i w:val="0"/>
          <w:iCs w:val="0"/>
          <w:caps w:val="0"/>
          <w:color w:val="auto"/>
          <w:spacing w:val="0"/>
          <w:sz w:val="32"/>
          <w:szCs w:val="32"/>
          <w:u w:val="none"/>
          <w:shd w:val="clear" w:fill="FFFFFF"/>
        </w:rPr>
        <w:fldChar w:fldCharType="end"/>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一、总体情况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2021年，我局以习近平新时代中国特色社会主义思想为指导，全面贯彻党的十九大及十九届二中、三中、四中、五中、六中全会精神，深入贯彻习近平总书记在庆祝中国共产党成立100周年大会上的重要讲话精神，认真落实市委市政府关于推进新时代政务公开工作的决策部署，围绕本局城市管理重点工作，坚持以“公开为常态，不公开为例外”的原则，进一步提高政务公开标准化、规范化、法治化水平，切实提升人民群众获得感和满意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楷体_GB2312" w:hAnsi="楷体_GB2312" w:eastAsia="楷体_GB2312" w:cs="楷体_GB2312"/>
          <w:b/>
          <w:bCs/>
          <w:i w:val="0"/>
          <w:iCs w:val="0"/>
          <w:caps w:val="0"/>
          <w:color w:val="333333"/>
          <w:spacing w:val="0"/>
          <w:sz w:val="32"/>
          <w:szCs w:val="32"/>
          <w:shd w:val="clear" w:fill="FFFFFF"/>
        </w:rPr>
        <w:t>（一）主动公开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强化</w:t>
      </w:r>
      <w:r>
        <w:rPr>
          <w:rFonts w:hint="eastAsia" w:ascii="仿宋_GB2312" w:hAnsi="仿宋_GB2312" w:eastAsia="仿宋_GB2312" w:cs="仿宋_GB2312"/>
          <w:b/>
          <w:bCs/>
          <w:i w:val="0"/>
          <w:iCs w:val="0"/>
          <w:caps w:val="0"/>
          <w:color w:val="333333"/>
          <w:spacing w:val="0"/>
          <w:sz w:val="32"/>
          <w:szCs w:val="32"/>
          <w:shd w:val="clear" w:fill="FFFFFF"/>
          <w:lang w:eastAsia="zh-CN"/>
        </w:rPr>
        <w:t>政府信息</w:t>
      </w:r>
      <w:r>
        <w:rPr>
          <w:rFonts w:hint="eastAsia" w:ascii="仿宋_GB2312" w:hAnsi="仿宋_GB2312" w:eastAsia="仿宋_GB2312" w:cs="仿宋_GB2312"/>
          <w:b/>
          <w:bCs/>
          <w:i w:val="0"/>
          <w:iCs w:val="0"/>
          <w:caps w:val="0"/>
          <w:color w:val="333333"/>
          <w:spacing w:val="0"/>
          <w:sz w:val="32"/>
          <w:szCs w:val="32"/>
          <w:shd w:val="clear" w:fill="FFFFFF"/>
        </w:rPr>
        <w:t>公开。</w:t>
      </w:r>
      <w:r>
        <w:rPr>
          <w:rFonts w:hint="eastAsia" w:ascii="仿宋_GB2312" w:hAnsi="仿宋_GB2312" w:eastAsia="仿宋_GB2312" w:cs="仿宋_GB2312"/>
          <w:i w:val="0"/>
          <w:iCs w:val="0"/>
          <w:caps w:val="0"/>
          <w:color w:val="333333"/>
          <w:spacing w:val="0"/>
          <w:sz w:val="32"/>
          <w:szCs w:val="32"/>
          <w:shd w:val="clear" w:fill="FFFFFF"/>
        </w:rPr>
        <w:t>坚持“以公开为常态，不公开为例外”的原则，积极主动做好政</w:t>
      </w:r>
      <w:r>
        <w:rPr>
          <w:rFonts w:hint="eastAsia" w:ascii="仿宋_GB2312" w:hAnsi="仿宋_GB2312" w:eastAsia="仿宋_GB2312" w:cs="仿宋_GB2312"/>
          <w:i w:val="0"/>
          <w:iCs w:val="0"/>
          <w:caps w:val="0"/>
          <w:color w:val="333333"/>
          <w:spacing w:val="0"/>
          <w:sz w:val="32"/>
          <w:szCs w:val="32"/>
          <w:shd w:val="clear" w:fill="FFFFFF"/>
          <w:lang w:val="en-US" w:eastAsia="zh-CN"/>
        </w:rPr>
        <w:t>府</w:t>
      </w:r>
      <w:r>
        <w:rPr>
          <w:rFonts w:hint="eastAsia" w:ascii="仿宋_GB2312" w:hAnsi="仿宋_GB2312" w:eastAsia="仿宋_GB2312" w:cs="仿宋_GB2312"/>
          <w:i w:val="0"/>
          <w:iCs w:val="0"/>
          <w:caps w:val="0"/>
          <w:color w:val="333333"/>
          <w:spacing w:val="0"/>
          <w:sz w:val="32"/>
          <w:szCs w:val="32"/>
          <w:shd w:val="clear" w:fill="FFFFFF"/>
        </w:rPr>
        <w:t>信息公开工作，202</w:t>
      </w:r>
      <w:r>
        <w:rPr>
          <w:rFonts w:hint="eastAsia"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rPr>
        <w:t>年，我局主动公开各项信息共计</w:t>
      </w:r>
      <w:r>
        <w:rPr>
          <w:rFonts w:hint="eastAsia" w:ascii="仿宋_GB2312" w:hAnsi="仿宋_GB2312" w:eastAsia="仿宋_GB2312" w:cs="仿宋_GB2312"/>
          <w:i w:val="0"/>
          <w:iCs w:val="0"/>
          <w:caps w:val="0"/>
          <w:color w:val="333333"/>
          <w:spacing w:val="0"/>
          <w:sz w:val="32"/>
          <w:szCs w:val="32"/>
          <w:shd w:val="clear" w:fill="FFFFFF"/>
          <w:lang w:val="en-US" w:eastAsia="zh-CN"/>
        </w:rPr>
        <w:t>530</w:t>
      </w:r>
      <w:r>
        <w:rPr>
          <w:rFonts w:hint="eastAsia" w:ascii="仿宋_GB2312" w:hAnsi="仿宋_GB2312" w:eastAsia="仿宋_GB2312" w:cs="仿宋_GB2312"/>
          <w:i w:val="0"/>
          <w:iCs w:val="0"/>
          <w:caps w:val="0"/>
          <w:color w:val="333333"/>
          <w:spacing w:val="0"/>
          <w:sz w:val="32"/>
          <w:szCs w:val="32"/>
          <w:shd w:val="clear" w:fill="FFFFFF"/>
        </w:rPr>
        <w:t>条，</w:t>
      </w:r>
      <w:r>
        <w:rPr>
          <w:rFonts w:hint="eastAsia" w:ascii="仿宋_GB2312" w:hAnsi="仿宋_GB2312" w:eastAsia="仿宋_GB2312" w:cs="仿宋_GB2312"/>
          <w:i w:val="0"/>
          <w:iCs w:val="0"/>
          <w:caps w:val="0"/>
          <w:color w:val="333333"/>
          <w:spacing w:val="0"/>
          <w:sz w:val="32"/>
          <w:szCs w:val="32"/>
          <w:shd w:val="clear" w:fill="FFFFFF"/>
          <w:lang w:val="en-US" w:eastAsia="zh-CN"/>
        </w:rPr>
        <w:t>发布各类工作动态信息110余</w:t>
      </w:r>
      <w:r>
        <w:rPr>
          <w:rFonts w:hint="eastAsia" w:ascii="仿宋_GB2312" w:hAnsi="仿宋_GB2312" w:eastAsia="仿宋_GB2312" w:cs="仿宋_GB2312"/>
          <w:i w:val="0"/>
          <w:iCs w:val="0"/>
          <w:caps w:val="0"/>
          <w:color w:val="333333"/>
          <w:spacing w:val="0"/>
          <w:sz w:val="32"/>
          <w:szCs w:val="32"/>
          <w:shd w:val="clear" w:fill="FFFFFF"/>
        </w:rPr>
        <w:t>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仿宋_GB2312" w:hAnsi="仿宋_GB2312" w:eastAsia="仿宋_GB2312" w:cs="仿宋_GB2312"/>
          <w:b/>
          <w:bCs/>
          <w:i w:val="0"/>
          <w:iCs w:val="0"/>
          <w:caps w:val="0"/>
          <w:color w:val="333333"/>
          <w:spacing w:val="0"/>
          <w:sz w:val="32"/>
          <w:szCs w:val="32"/>
          <w:shd w:val="clear" w:fill="FFFFFF"/>
        </w:rPr>
        <w:t>加强基层政务公开标准化规范化栏目维护。</w:t>
      </w:r>
      <w:r>
        <w:rPr>
          <w:rFonts w:hint="eastAsia" w:ascii="仿宋_GB2312" w:hAnsi="仿宋_GB2312" w:eastAsia="仿宋_GB2312" w:cs="仿宋_GB2312"/>
          <w:i w:val="0"/>
          <w:iCs w:val="0"/>
          <w:caps w:val="0"/>
          <w:color w:val="333333"/>
          <w:spacing w:val="0"/>
          <w:sz w:val="32"/>
          <w:szCs w:val="32"/>
          <w:shd w:val="clear" w:fill="FFFFFF"/>
        </w:rPr>
        <w:t>一是</w:t>
      </w:r>
      <w:r>
        <w:rPr>
          <w:rFonts w:hint="eastAsia" w:ascii="仿宋_GB2312" w:hAnsi="仿宋_GB2312" w:eastAsia="仿宋_GB2312" w:cs="仿宋_GB2312"/>
          <w:i w:val="0"/>
          <w:iCs w:val="0"/>
          <w:caps w:val="0"/>
          <w:color w:val="333333"/>
          <w:spacing w:val="0"/>
          <w:sz w:val="32"/>
          <w:szCs w:val="32"/>
          <w:shd w:val="clear" w:fill="FFFFFF"/>
          <w:lang w:val="en-US" w:eastAsia="zh-CN"/>
        </w:rPr>
        <w:t>维护</w:t>
      </w:r>
      <w:r>
        <w:rPr>
          <w:rFonts w:hint="eastAsia" w:ascii="仿宋_GB2312" w:hAnsi="仿宋_GB2312" w:eastAsia="仿宋_GB2312" w:cs="仿宋_GB2312"/>
          <w:i w:val="0"/>
          <w:iCs w:val="0"/>
          <w:caps w:val="0"/>
          <w:color w:val="333333"/>
          <w:spacing w:val="0"/>
          <w:sz w:val="32"/>
          <w:szCs w:val="32"/>
          <w:shd w:val="clear" w:fill="FFFFFF"/>
        </w:rPr>
        <w:t>城市综合执法领域基层政务公开事项标准目录。积极主动参与由政务公开办举办的</w:t>
      </w:r>
      <w:r>
        <w:rPr>
          <w:rFonts w:hint="eastAsia" w:ascii="仿宋_GB2312" w:hAnsi="仿宋_GB2312" w:eastAsia="仿宋_GB2312" w:cs="仿宋_GB2312"/>
          <w:i w:val="0"/>
          <w:iCs w:val="0"/>
          <w:caps w:val="0"/>
          <w:color w:val="333333"/>
          <w:spacing w:val="0"/>
          <w:sz w:val="32"/>
          <w:szCs w:val="32"/>
          <w:shd w:val="clear" w:fill="FFFFFF"/>
          <w:lang w:val="en-US" w:eastAsia="zh-CN"/>
        </w:rPr>
        <w:t>专题培训</w:t>
      </w:r>
      <w:r>
        <w:rPr>
          <w:rFonts w:hint="eastAsia" w:ascii="仿宋_GB2312" w:hAnsi="仿宋_GB2312" w:eastAsia="仿宋_GB2312" w:cs="仿宋_GB2312"/>
          <w:i w:val="0"/>
          <w:iCs w:val="0"/>
          <w:caps w:val="0"/>
          <w:color w:val="333333"/>
          <w:spacing w:val="0"/>
          <w:sz w:val="32"/>
          <w:szCs w:val="32"/>
          <w:shd w:val="clear" w:fill="FFFFFF"/>
        </w:rPr>
        <w:t>会，请教我局基层政务公开标准化规范化目录</w:t>
      </w:r>
      <w:r>
        <w:rPr>
          <w:rFonts w:hint="eastAsia" w:ascii="仿宋_GB2312" w:hAnsi="仿宋_GB2312" w:eastAsia="仿宋_GB2312" w:cs="仿宋_GB2312"/>
          <w:i w:val="0"/>
          <w:iCs w:val="0"/>
          <w:caps w:val="0"/>
          <w:color w:val="333333"/>
          <w:spacing w:val="0"/>
          <w:sz w:val="32"/>
          <w:szCs w:val="32"/>
          <w:shd w:val="clear" w:fill="FFFFFF"/>
          <w:lang w:val="en-US" w:eastAsia="zh-CN"/>
        </w:rPr>
        <w:t>公开</w:t>
      </w:r>
      <w:r>
        <w:rPr>
          <w:rFonts w:hint="eastAsia" w:ascii="仿宋_GB2312" w:hAnsi="仿宋_GB2312" w:eastAsia="仿宋_GB2312" w:cs="仿宋_GB2312"/>
          <w:i w:val="0"/>
          <w:iCs w:val="0"/>
          <w:caps w:val="0"/>
          <w:color w:val="333333"/>
          <w:spacing w:val="0"/>
          <w:sz w:val="32"/>
          <w:szCs w:val="32"/>
          <w:shd w:val="clear" w:fill="FFFFFF"/>
        </w:rPr>
        <w:t>事宜，按目录主动公开各类信息。二是常态化更新“两化”公开专题。常态化做好全面推进基层政务公开标准化规范化工作专题的更新，积极参与由</w:t>
      </w:r>
      <w:r>
        <w:rPr>
          <w:rFonts w:hint="eastAsia" w:ascii="仿宋_GB2312" w:hAnsi="仿宋_GB2312" w:eastAsia="仿宋_GB2312" w:cs="仿宋_GB2312"/>
          <w:i w:val="0"/>
          <w:iCs w:val="0"/>
          <w:caps w:val="0"/>
          <w:color w:val="333333"/>
          <w:spacing w:val="0"/>
          <w:sz w:val="32"/>
          <w:szCs w:val="32"/>
          <w:shd w:val="clear" w:fill="FFFFFF"/>
          <w:lang w:val="en-US" w:eastAsia="zh-CN"/>
        </w:rPr>
        <w:t>市</w:t>
      </w:r>
      <w:r>
        <w:rPr>
          <w:rFonts w:hint="eastAsia" w:ascii="仿宋_GB2312" w:hAnsi="仿宋_GB2312" w:eastAsia="仿宋_GB2312" w:cs="仿宋_GB2312"/>
          <w:i w:val="0"/>
          <w:iCs w:val="0"/>
          <w:caps w:val="0"/>
          <w:color w:val="333333"/>
          <w:spacing w:val="0"/>
          <w:sz w:val="32"/>
          <w:szCs w:val="32"/>
          <w:shd w:val="clear" w:fill="FFFFFF"/>
        </w:rPr>
        <w:t>政府牵头的26个领域目录后台布置培训会，确保专题兼顾公开与个人隐私保护。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楷体_GB2312" w:hAnsi="楷体_GB2312" w:eastAsia="楷体_GB2312" w:cs="楷体_GB2312"/>
          <w:b/>
          <w:bCs/>
          <w:i w:val="0"/>
          <w:iCs w:val="0"/>
          <w:caps w:val="0"/>
          <w:color w:val="333333"/>
          <w:spacing w:val="0"/>
          <w:sz w:val="32"/>
          <w:szCs w:val="32"/>
          <w:shd w:val="clear" w:fill="FFFFFF"/>
        </w:rPr>
        <w:t>（二）依申请公开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32"/>
          <w:szCs w:val="32"/>
          <w:shd w:val="clear" w:fill="FFFFFF"/>
        </w:rPr>
        <w:t>202</w:t>
      </w:r>
      <w:r>
        <w:rPr>
          <w:rFonts w:hint="eastAsia"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rPr>
        <w:t>年，我局未收到政府信息公开申请。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楷体_GB2312" w:hAnsi="楷体_GB2312" w:eastAsia="楷体_GB2312" w:cs="楷体_GB2312"/>
          <w:b/>
          <w:bCs/>
          <w:i w:val="0"/>
          <w:iCs w:val="0"/>
          <w:caps w:val="0"/>
          <w:color w:val="333333"/>
          <w:spacing w:val="0"/>
          <w:sz w:val="32"/>
          <w:szCs w:val="32"/>
          <w:shd w:val="clear" w:fill="FFFFFF"/>
        </w:rPr>
        <w:t>（三）政府信息管理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32"/>
          <w:szCs w:val="32"/>
          <w:shd w:val="clear" w:fill="FFFFFF"/>
        </w:rPr>
        <w:t>进一步规范信息公开工作流程，严格落实信息发布“三审”制，加强信息发布审核，对第三方</w:t>
      </w:r>
      <w:r>
        <w:rPr>
          <w:rFonts w:hint="eastAsia" w:ascii="仿宋_GB2312" w:hAnsi="仿宋_GB2312" w:eastAsia="仿宋_GB2312" w:cs="仿宋_GB2312"/>
          <w:i w:val="0"/>
          <w:iCs w:val="0"/>
          <w:caps w:val="0"/>
          <w:color w:val="333333"/>
          <w:spacing w:val="0"/>
          <w:sz w:val="32"/>
          <w:szCs w:val="32"/>
          <w:shd w:val="clear" w:fill="FFFFFF"/>
          <w:lang w:val="en-US" w:eastAsia="zh-CN"/>
        </w:rPr>
        <w:t>检</w:t>
      </w:r>
      <w:r>
        <w:rPr>
          <w:rFonts w:hint="eastAsia" w:ascii="仿宋_GB2312" w:hAnsi="仿宋_GB2312" w:eastAsia="仿宋_GB2312" w:cs="仿宋_GB2312"/>
          <w:i w:val="0"/>
          <w:iCs w:val="0"/>
          <w:caps w:val="0"/>
          <w:color w:val="333333"/>
          <w:spacing w:val="0"/>
          <w:sz w:val="32"/>
          <w:szCs w:val="32"/>
          <w:shd w:val="clear" w:fill="FFFFFF"/>
        </w:rPr>
        <w:t>测我局政</w:t>
      </w:r>
      <w:r>
        <w:rPr>
          <w:rFonts w:hint="eastAsia" w:ascii="仿宋_GB2312" w:hAnsi="仿宋_GB2312" w:eastAsia="仿宋_GB2312" w:cs="仿宋_GB2312"/>
          <w:i w:val="0"/>
          <w:iCs w:val="0"/>
          <w:caps w:val="0"/>
          <w:color w:val="333333"/>
          <w:spacing w:val="0"/>
          <w:sz w:val="32"/>
          <w:szCs w:val="32"/>
          <w:shd w:val="clear" w:fill="FFFFFF"/>
          <w:lang w:val="en-US" w:eastAsia="zh-CN"/>
        </w:rPr>
        <w:t>府</w:t>
      </w:r>
      <w:r>
        <w:rPr>
          <w:rFonts w:hint="eastAsia" w:ascii="仿宋_GB2312" w:hAnsi="仿宋_GB2312" w:eastAsia="仿宋_GB2312" w:cs="仿宋_GB2312"/>
          <w:i w:val="0"/>
          <w:iCs w:val="0"/>
          <w:caps w:val="0"/>
          <w:color w:val="333333"/>
          <w:spacing w:val="0"/>
          <w:sz w:val="32"/>
          <w:szCs w:val="32"/>
          <w:shd w:val="clear" w:fill="FFFFFF"/>
        </w:rPr>
        <w:t>公开信息发布情况所列出的问题，及时整改，确保</w:t>
      </w:r>
      <w:r>
        <w:rPr>
          <w:rFonts w:hint="eastAsia" w:ascii="仿宋_GB2312" w:hAnsi="仿宋_GB2312" w:eastAsia="仿宋_GB2312" w:cs="仿宋_GB2312"/>
          <w:i w:val="0"/>
          <w:iCs w:val="0"/>
          <w:caps w:val="0"/>
          <w:color w:val="333333"/>
          <w:spacing w:val="0"/>
          <w:sz w:val="32"/>
          <w:szCs w:val="32"/>
          <w:shd w:val="clear" w:fill="FFFFFF"/>
          <w:lang w:eastAsia="zh-CN"/>
        </w:rPr>
        <w:t>政府信息</w:t>
      </w:r>
      <w:r>
        <w:rPr>
          <w:rFonts w:hint="eastAsia" w:ascii="仿宋_GB2312" w:hAnsi="仿宋_GB2312" w:eastAsia="仿宋_GB2312" w:cs="仿宋_GB2312"/>
          <w:i w:val="0"/>
          <w:iCs w:val="0"/>
          <w:caps w:val="0"/>
          <w:color w:val="333333"/>
          <w:spacing w:val="0"/>
          <w:sz w:val="32"/>
          <w:szCs w:val="32"/>
          <w:shd w:val="clear" w:fill="FFFFFF"/>
        </w:rPr>
        <w:t>公开工作有序推进。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楷体_GB2312" w:hAnsi="楷体_GB2312" w:eastAsia="楷体_GB2312" w:cs="楷体_GB2312"/>
          <w:b/>
          <w:bCs/>
          <w:i w:val="0"/>
          <w:iCs w:val="0"/>
          <w:caps w:val="0"/>
          <w:color w:val="333333"/>
          <w:spacing w:val="0"/>
          <w:sz w:val="32"/>
          <w:szCs w:val="32"/>
          <w:shd w:val="clear" w:fill="FFFFFF"/>
        </w:rPr>
        <w:t>（四）</w:t>
      </w:r>
      <w:r>
        <w:rPr>
          <w:rFonts w:hint="eastAsia" w:ascii="楷体_GB2312" w:hAnsi="楷体_GB2312" w:eastAsia="楷体_GB2312" w:cs="楷体_GB2312"/>
          <w:b/>
          <w:bCs/>
          <w:i w:val="0"/>
          <w:iCs w:val="0"/>
          <w:caps w:val="0"/>
          <w:color w:val="333333"/>
          <w:spacing w:val="0"/>
          <w:sz w:val="32"/>
          <w:szCs w:val="32"/>
          <w:shd w:val="clear" w:fill="FFFFFF"/>
          <w:lang w:val="en-US" w:eastAsia="zh-CN"/>
        </w:rPr>
        <w:t>政府信息</w:t>
      </w:r>
      <w:r>
        <w:rPr>
          <w:rFonts w:hint="eastAsia" w:ascii="楷体_GB2312" w:hAnsi="楷体_GB2312" w:eastAsia="楷体_GB2312" w:cs="楷体_GB2312"/>
          <w:b/>
          <w:bCs/>
          <w:i w:val="0"/>
          <w:iCs w:val="0"/>
          <w:caps w:val="0"/>
          <w:color w:val="333333"/>
          <w:spacing w:val="0"/>
          <w:sz w:val="32"/>
          <w:szCs w:val="32"/>
          <w:shd w:val="clear" w:fill="FFFFFF"/>
        </w:rPr>
        <w:t>公开平台建设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32"/>
          <w:szCs w:val="32"/>
          <w:shd w:val="clear" w:fill="FFFFFF"/>
          <w:lang w:val="en-US" w:eastAsia="zh-CN"/>
        </w:rPr>
        <w:t>一是按照《国务院办公厅政府信息与政务公开办公室关于规范政府信息公开平台有关事项的通知》（国办公开办函〔2019〕61号）文件要求，在市政府办的指导下，完成我局政府信息公开专栏的规范升级，及时调整公开栏目，并加强内容保障，做到法定主动公开内容在法定公开时限内全部公开到位。二是及时回应社会公众关注热点，充分发挥12319电话热线和数字化城管系统平台作用，及时回复群众政策咨询、意见建议、诉求举报等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楷体_GB2312" w:hAnsi="楷体_GB2312" w:eastAsia="楷体_GB2312" w:cs="楷体_GB2312"/>
          <w:b/>
          <w:bCs/>
          <w:i w:val="0"/>
          <w:iCs w:val="0"/>
          <w:caps w:val="0"/>
          <w:color w:val="333333"/>
          <w:spacing w:val="0"/>
          <w:sz w:val="32"/>
          <w:szCs w:val="32"/>
          <w:shd w:val="clear" w:fill="FFFFFF"/>
        </w:rPr>
        <w:t>（五）监督保障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一是加强组织领导。局党组高度重视政府信息公开工作，切实负起政务公开工作主体责任，配齐配强工作力量，明确政府信息公开工作分管领导和承办股室、承办人员，积极推动政务公开工作落实。二是强化学习培训。积极参加由市政府办举办的业务培训，组织工作人员参加培训，稳步提高工作人员的政务公开意识和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2021年我局在政务公开工作中接受各单位和群众的社会监督、社会评议，社会群众对我局信息公开评议结果较为满意。2021年我局未发生政务公开责任追究情况。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val="0"/>
          <w:i w:val="0"/>
          <w:iCs w:val="0"/>
          <w:caps w:val="0"/>
          <w:color w:val="333333"/>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val="0"/>
          <w:i w:val="0"/>
          <w:iCs w:val="0"/>
          <w:caps w:val="0"/>
          <w:color w:val="333333"/>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val="0"/>
          <w:i w:val="0"/>
          <w:iCs w:val="0"/>
          <w:caps w:val="0"/>
          <w:color w:val="333333"/>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val="0"/>
          <w:i w:val="0"/>
          <w:iCs w:val="0"/>
          <w:caps w:val="0"/>
          <w:color w:val="333333"/>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val="0"/>
          <w:i w:val="0"/>
          <w:iCs w:val="0"/>
          <w:caps w:val="0"/>
          <w:color w:val="333333"/>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b w:val="0"/>
          <w:bCs w:val="0"/>
          <w:i w:val="0"/>
          <w:iCs w:val="0"/>
          <w:caps w:val="0"/>
          <w:color w:val="333333"/>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二、主动公开政府信息情况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iCs w:val="0"/>
          <w:caps w:val="0"/>
          <w:color w:val="333333"/>
          <w:spacing w:val="0"/>
          <w:sz w:val="24"/>
          <w:szCs w:val="24"/>
        </w:rPr>
      </w:pP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eastAsiaTheme="minorEastAsia"/>
                <w:lang w:val="en-US" w:eastAsia="zh-CN"/>
              </w:rPr>
            </w:pPr>
            <w:r>
              <w:rPr>
                <w:rFonts w:hint="eastAsia" w:ascii="宋体" w:hAnsi="宋体" w:eastAsia="宋体" w:cs="宋体"/>
                <w:color w:val="000000"/>
                <w:kern w:val="0"/>
                <w:sz w:val="20"/>
                <w:szCs w:val="20"/>
                <w:lang w:val="en-US" w:eastAsia="zh-CN" w:bidi="ar"/>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1129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eastAsiaTheme="minorEastAsia"/>
                <w:sz w:val="24"/>
                <w:szCs w:val="24"/>
                <w:lang w:val="en-US" w:eastAsia="zh-CN"/>
              </w:rPr>
            </w:pPr>
            <w:r>
              <w:rPr>
                <w:rFonts w:hint="eastAsia" w:ascii="宋体" w:hAnsi="宋体" w:eastAsia="宋体" w:cs="宋体"/>
                <w:color w:val="000000"/>
                <w:kern w:val="0"/>
                <w:sz w:val="20"/>
                <w:szCs w:val="20"/>
                <w:lang w:val="en-US" w:eastAsia="zh-CN" w:bidi="ar"/>
              </w:rPr>
              <w:t>419.02</w:t>
            </w:r>
          </w:p>
        </w:tc>
      </w:tr>
    </w:tbl>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三、收到和处理政府信息公开申请情况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iCs w:val="0"/>
          <w:caps w:val="0"/>
          <w:color w:val="333333"/>
          <w:spacing w:val="0"/>
          <w:sz w:val="24"/>
          <w:szCs w:val="24"/>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ascii="楷体" w:hAnsi="楷体" w:eastAsia="楷体" w:cs="楷体"/>
                <w:kern w:val="0"/>
                <w:sz w:val="20"/>
                <w:szCs w:val="2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企业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kern w:val="0"/>
                <w:sz w:val="20"/>
                <w:szCs w:val="20"/>
                <w:lang w:val="en-US" w:eastAsia="zh-CN"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eastAsia" w:ascii="宋体" w:hAnsi="宋体" w:eastAsia="宋体" w:cs="宋体"/>
                <w:kern w:val="0"/>
                <w:sz w:val="20"/>
                <w:szCs w:val="20"/>
                <w:lang w:val="en-US" w:eastAsia="zh-CN" w:bidi="ar"/>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kern w:val="0"/>
                <w:sz w:val="20"/>
                <w:szCs w:val="20"/>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eastAsiaTheme="minorEastAsia"/>
                <w:sz w:val="24"/>
                <w:szCs w:val="24"/>
                <w:lang w:val="en-US" w:eastAsia="zh-CN"/>
              </w:rPr>
            </w:pPr>
            <w:r>
              <w:rPr>
                <w:rFonts w:hint="eastAsia" w:ascii="Calibri" w:hAnsi="Calibri" w:cs="Calibri"/>
                <w:kern w:val="0"/>
                <w:sz w:val="20"/>
                <w:szCs w:val="20"/>
                <w:lang w:val="en-US" w:eastAsia="zh-CN" w:bidi="ar"/>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i w:val="0"/>
          <w:iCs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b/>
          <w:bCs/>
          <w:i w:val="0"/>
          <w:iCs w:val="0"/>
          <w:caps w:val="0"/>
          <w:color w:val="333333"/>
          <w:spacing w:val="0"/>
          <w:sz w:val="24"/>
          <w:szCs w:val="24"/>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b/>
          <w:bCs/>
          <w:i w:val="0"/>
          <w:iCs w:val="0"/>
          <w:caps w:val="0"/>
          <w:color w:val="333333"/>
          <w:spacing w:val="0"/>
          <w:sz w:val="24"/>
          <w:szCs w:val="24"/>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b/>
          <w:bCs/>
          <w:i w:val="0"/>
          <w:iCs w:val="0"/>
          <w:caps w:val="0"/>
          <w:color w:val="333333"/>
          <w:spacing w:val="0"/>
          <w:sz w:val="24"/>
          <w:szCs w:val="24"/>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b/>
          <w:bCs/>
          <w:i w:val="0"/>
          <w:iCs w:val="0"/>
          <w:caps w:val="0"/>
          <w:color w:val="333333"/>
          <w:spacing w:val="0"/>
          <w:sz w:val="24"/>
          <w:szCs w:val="24"/>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b/>
          <w:bCs/>
          <w:i w:val="0"/>
          <w:iCs w:val="0"/>
          <w:caps w:val="0"/>
          <w:color w:val="333333"/>
          <w:spacing w:val="0"/>
          <w:sz w:val="24"/>
          <w:szCs w:val="24"/>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四、政府信息公开行政复议、行政诉讼情况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i w:val="0"/>
          <w:iCs w:val="0"/>
          <w:caps w:val="0"/>
          <w:color w:val="333333"/>
          <w:spacing w:val="0"/>
          <w:sz w:val="24"/>
          <w:szCs w:val="24"/>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69"/>
        <w:gridCol w:w="647"/>
        <w:gridCol w:w="648"/>
        <w:gridCol w:w="648"/>
        <w:gridCol w:w="648"/>
        <w:gridCol w:w="648"/>
        <w:gridCol w:w="648"/>
        <w:gridCol w:w="649"/>
        <w:gridCol w:w="649"/>
        <w:gridCol w:w="649"/>
        <w:gridCol w:w="649"/>
        <w:gridCol w:w="649"/>
        <w:gridCol w:w="649"/>
        <w:gridCol w:w="649"/>
        <w:gridCol w:w="64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6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行政复议</w:t>
            </w:r>
          </w:p>
        </w:tc>
        <w:tc>
          <w:tcPr>
            <w:tcW w:w="648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结果维持</w:t>
            </w:r>
          </w:p>
        </w:tc>
        <w:tc>
          <w:tcPr>
            <w:tcW w:w="647"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8"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8"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8"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总计</w:t>
            </w:r>
          </w:p>
        </w:tc>
        <w:tc>
          <w:tcPr>
            <w:tcW w:w="324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未经复议直接起诉</w:t>
            </w:r>
          </w:p>
        </w:tc>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64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64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64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64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sz w:val="24"/>
                <w:szCs w:val="24"/>
              </w:rPr>
            </w:pPr>
          </w:p>
        </w:tc>
        <w:tc>
          <w:tcPr>
            <w:tcW w:w="64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color w:val="000000"/>
                <w:kern w:val="0"/>
                <w:sz w:val="20"/>
                <w:szCs w:val="20"/>
                <w:lang w:val="en-US" w:eastAsia="zh-CN" w:bidi="ar"/>
              </w:rPr>
              <w:t>总计</w:t>
            </w:r>
          </w:p>
        </w:tc>
        <w:tc>
          <w:tcPr>
            <w:tcW w:w="6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6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lang w:val="en-US"/>
              </w:rPr>
            </w:pPr>
            <w:r>
              <w:rPr>
                <w:rFonts w:hint="eastAsia" w:ascii="Calibri" w:hAnsi="Calibri" w:cs="Calibri"/>
                <w:kern w:val="0"/>
                <w:sz w:val="20"/>
                <w:szCs w:val="20"/>
                <w:lang w:val="en-US" w:eastAsia="zh-CN" w:bidi="ar"/>
              </w:rPr>
              <w:t>12</w:t>
            </w:r>
          </w:p>
        </w:tc>
        <w:tc>
          <w:tcPr>
            <w:tcW w:w="64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Calibri" w:hAnsi="Calibri" w:cs="Calibri"/>
                <w:kern w:val="0"/>
                <w:sz w:val="20"/>
                <w:szCs w:val="20"/>
                <w:lang w:val="en-US" w:eastAsia="zh-CN" w:bidi="ar"/>
              </w:rPr>
              <w:t>0</w:t>
            </w:r>
          </w:p>
        </w:tc>
        <w:tc>
          <w:tcPr>
            <w:tcW w:w="64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Calibri" w:hAnsi="Calibri" w:cs="Calibri"/>
                <w:kern w:val="0"/>
                <w:sz w:val="20"/>
                <w:szCs w:val="20"/>
                <w:lang w:val="en-US" w:eastAsia="zh-CN" w:bidi="ar"/>
              </w:rPr>
              <w:t>0</w:t>
            </w:r>
          </w:p>
        </w:tc>
        <w:tc>
          <w:tcPr>
            <w:tcW w:w="64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Calibri" w:hAnsi="Calibri" w:cs="Calibri"/>
                <w:kern w:val="0"/>
                <w:sz w:val="20"/>
                <w:szCs w:val="20"/>
                <w:lang w:val="en-US" w:eastAsia="zh-CN" w:bidi="ar"/>
              </w:rPr>
              <w:t>0</w:t>
            </w:r>
          </w:p>
        </w:tc>
        <w:tc>
          <w:tcPr>
            <w:tcW w:w="64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lang w:val="en-US"/>
              </w:rPr>
            </w:pPr>
            <w:r>
              <w:rPr>
                <w:rFonts w:hint="eastAsia" w:ascii="Calibri" w:hAnsi="Calibri" w:cs="Calibri"/>
                <w:kern w:val="0"/>
                <w:sz w:val="20"/>
                <w:szCs w:val="20"/>
                <w:lang w:val="en-US" w:eastAsia="zh-CN" w:bidi="ar"/>
              </w:rPr>
              <w:t>12</w:t>
            </w:r>
          </w:p>
        </w:tc>
        <w:tc>
          <w:tcPr>
            <w:tcW w:w="64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Calibri" w:hAnsi="Calibri" w:cs="Calibri"/>
                <w:kern w:val="0"/>
                <w:sz w:val="20"/>
                <w:szCs w:val="20"/>
                <w:lang w:val="en-US" w:eastAsia="zh-CN" w:bidi="ar"/>
              </w:rPr>
              <w:t>2</w:t>
            </w:r>
          </w:p>
        </w:tc>
        <w:tc>
          <w:tcPr>
            <w:tcW w:w="64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Calibri" w:hAnsi="Calibri"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Calibri" w:hAnsi="Calibri" w:cs="Calibri"/>
                <w:kern w:val="0"/>
                <w:sz w:val="20"/>
                <w:szCs w:val="20"/>
                <w:lang w:val="en-US" w:eastAsia="zh-CN" w:bidi="ar"/>
              </w:rPr>
              <w:t>1</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Calibri" w:hAnsi="Calibri" w:cs="Calibri"/>
                <w:kern w:val="0"/>
                <w:sz w:val="20"/>
                <w:szCs w:val="20"/>
                <w:lang w:val="en-US" w:eastAsia="zh-CN" w:bidi="ar"/>
              </w:rPr>
              <w:t>1</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Calibri" w:hAnsi="Calibri" w:cs="Calibri"/>
                <w:kern w:val="0"/>
                <w:sz w:val="20"/>
                <w:szCs w:val="20"/>
                <w:lang w:val="en-US" w:eastAsia="zh-CN" w:bidi="ar"/>
              </w:rPr>
              <w:t>4</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Calibri" w:hAnsi="Calibri" w:cs="Calibri"/>
                <w:kern w:val="0"/>
                <w:sz w:val="20"/>
                <w:szCs w:val="20"/>
                <w:lang w:val="en-US" w:eastAsia="zh-CN" w:bidi="ar"/>
              </w:rPr>
              <w:t>9</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Calibri" w:hAnsi="Calibri"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Calibri" w:hAnsi="Calibri" w:cs="Calibri"/>
                <w:kern w:val="0"/>
                <w:sz w:val="20"/>
                <w:szCs w:val="20"/>
                <w:lang w:val="en-US" w:eastAsia="zh-CN" w:bidi="ar"/>
              </w:rPr>
              <w:t>2</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Calibri" w:hAnsi="Calibri" w:cs="Calibri"/>
                <w:kern w:val="0"/>
                <w:sz w:val="20"/>
                <w:szCs w:val="20"/>
                <w:lang w:val="en-US" w:eastAsia="zh-CN" w:bidi="ar"/>
              </w:rPr>
              <w:t>1</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sz w:val="24"/>
                <w:szCs w:val="24"/>
                <w:lang w:val="en-US"/>
              </w:rPr>
            </w:pPr>
            <w:r>
              <w:rPr>
                <w:rFonts w:hint="eastAsia" w:ascii="Calibri" w:hAnsi="Calibri" w:cs="Calibri"/>
                <w:kern w:val="0"/>
                <w:sz w:val="20"/>
                <w:szCs w:val="20"/>
                <w:lang w:val="en-US" w:eastAsia="zh-CN" w:bidi="ar"/>
              </w:rPr>
              <w:t>12</w:t>
            </w:r>
          </w:p>
        </w:tc>
      </w:tr>
    </w:tbl>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五、存在的主要问题及改进情况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回顾2021年，我局政府信息公开工作稳步扎实推进，但部分主动公开的信息内容还不够完善和及时，信息公开形式仍需进一步丰富，广度还需要进一步拓展，信息数量和质量还有待进一步提高。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展望2022年，我局将继续按照市委、市政府的要求，认真查找不足。严格按照政府信息公开审核制度，落实审核责任，把好政府信息的质量关，探索政府信息公开工作新思路，进一步提高政府信息公开工作水平。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六、其他需要报告的事项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按照《国务院办公厅关于印发&lt;政府信息公开信息处理费管理办法&gt;的通知》（国办〔2020〕109号）规定的按件、按量收费标准，本年度没有产生信息公开处理费。</w:t>
      </w: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601C9"/>
    <w:rsid w:val="051A0F0B"/>
    <w:rsid w:val="05C475ED"/>
    <w:rsid w:val="087B72B3"/>
    <w:rsid w:val="09343451"/>
    <w:rsid w:val="0B347D01"/>
    <w:rsid w:val="0E5D7BA4"/>
    <w:rsid w:val="1ECB746D"/>
    <w:rsid w:val="23D95848"/>
    <w:rsid w:val="27666BB8"/>
    <w:rsid w:val="27DA6C9B"/>
    <w:rsid w:val="349601C9"/>
    <w:rsid w:val="3D394C19"/>
    <w:rsid w:val="492A4A51"/>
    <w:rsid w:val="50E04274"/>
    <w:rsid w:val="51361FFF"/>
    <w:rsid w:val="589F16CC"/>
    <w:rsid w:val="5EF61B90"/>
    <w:rsid w:val="63833DE0"/>
    <w:rsid w:val="64373586"/>
    <w:rsid w:val="6D9B55F6"/>
    <w:rsid w:val="7C7C2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2021-12-07T01:20:00Z</dcterms:created>
  <dc:creator>TST珍珠</dc:creator>
  <cp:lastModifiedBy>TST珍珠</cp:lastModifiedBy>
  <dcterms:modified xsi:type="dcterms:W3CDTF">2022-03-01T01:23:34Z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B60011B0A817480390619607460017BD</vt:lpwstr>
  </property>
</Properties>
</file>