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44"/>
          <w:szCs w:val="52"/>
          <w:lang w:eastAsia="zh-CN"/>
        </w:rPr>
        <w:t>泊岗乡</w:t>
      </w:r>
      <w:r>
        <w:rPr>
          <w:rFonts w:hint="eastAsia" w:ascii="宋体" w:hAnsi="宋体" w:eastAsia="宋体" w:cs="宋体"/>
          <w:b/>
          <w:bCs/>
          <w:sz w:val="44"/>
          <w:szCs w:val="52"/>
        </w:rPr>
        <w:t>20</w:t>
      </w:r>
      <w:r>
        <w:rPr>
          <w:rFonts w:hint="eastAsia" w:ascii="宋体" w:hAnsi="宋体" w:eastAsia="宋体" w:cs="宋体"/>
          <w:b/>
          <w:bCs/>
          <w:sz w:val="44"/>
          <w:szCs w:val="52"/>
          <w:lang w:val="en-US" w:eastAsia="zh-CN"/>
        </w:rPr>
        <w:t>21</w:t>
      </w:r>
      <w:r>
        <w:rPr>
          <w:rFonts w:hint="eastAsia" w:ascii="宋体" w:hAnsi="宋体" w:eastAsia="宋体" w:cs="宋体"/>
          <w:b/>
          <w:bCs/>
          <w:sz w:val="44"/>
          <w:szCs w:val="52"/>
        </w:rPr>
        <w:t>年依法行政</w:t>
      </w:r>
      <w:r>
        <w:rPr>
          <w:rFonts w:hint="eastAsia" w:ascii="宋体" w:hAnsi="宋体" w:eastAsia="宋体" w:cs="宋体"/>
          <w:b/>
          <w:bCs/>
          <w:sz w:val="44"/>
          <w:szCs w:val="52"/>
          <w:lang w:eastAsia="zh-CN"/>
        </w:rPr>
        <w:t>总结报告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宋体" w:hAnsi="宋体" w:eastAsia="宋体" w:cs="宋体"/>
          <w:b/>
          <w:bCs/>
          <w:sz w:val="21"/>
          <w:szCs w:val="21"/>
          <w:lang w:eastAsia="zh-CN"/>
        </w:rPr>
      </w:pPr>
    </w:p>
    <w:p>
      <w:pPr>
        <w:pStyle w:val="4"/>
        <w:keepNext w:val="0"/>
        <w:keepLines w:val="0"/>
        <w:widowControl/>
        <w:suppressLineNumbers w:val="0"/>
        <w:ind w:left="0" w:firstLine="640" w:firstLineChars="200"/>
        <w:rPr>
          <w:rFonts w:hint="eastAsia" w:ascii="仿宋_GB2312" w:hAnsi="仿宋_GB2312" w:eastAsia="仿宋_GB2312" w:cs="仿宋_GB2312"/>
          <w:sz w:val="32"/>
          <w:szCs w:val="40"/>
        </w:rPr>
      </w:pPr>
      <w:r>
        <w:rPr>
          <w:rFonts w:hint="default" w:ascii="Times New Roman" w:hAnsi="Times New Roman" w:eastAsia="仿宋" w:cs="Times New Roman"/>
          <w:sz w:val="32"/>
          <w:szCs w:val="32"/>
        </w:rPr>
        <w:t>按照</w:t>
      </w:r>
      <w:r>
        <w:rPr>
          <w:rFonts w:hint="eastAsia" w:ascii="仿宋" w:hAnsi="仿宋" w:eastAsia="仿宋" w:cs="仿宋"/>
          <w:sz w:val="32"/>
          <w:szCs w:val="32"/>
          <w:lang w:eastAsia="zh-CN"/>
        </w:rPr>
        <w:t>明光市全面推进依法行政工作领导小组</w:t>
      </w:r>
      <w:r>
        <w:rPr>
          <w:rFonts w:hint="eastAsia" w:ascii="仿宋" w:hAnsi="仿宋" w:eastAsia="仿宋" w:cs="仿宋"/>
          <w:sz w:val="32"/>
          <w:szCs w:val="32"/>
        </w:rPr>
        <w:t>《</w:t>
      </w:r>
      <w:r>
        <w:rPr>
          <w:rFonts w:hint="eastAsia" w:ascii="仿宋" w:hAnsi="仿宋" w:eastAsia="仿宋" w:cs="仿宋"/>
          <w:sz w:val="32"/>
          <w:szCs w:val="32"/>
          <w:lang w:eastAsia="zh-CN"/>
        </w:rPr>
        <w:t>关于印发</w:t>
      </w:r>
      <w:r>
        <w:rPr>
          <w:rFonts w:hint="eastAsia" w:ascii="仿宋" w:hAnsi="仿宋" w:eastAsia="仿宋" w:cs="仿宋"/>
          <w:sz w:val="32"/>
          <w:szCs w:val="32"/>
          <w:lang w:val="en-US" w:eastAsia="zh-CN"/>
        </w:rPr>
        <w:t>&lt;明光市人民政府2021年依法行政重点工作安排&gt;的通知</w:t>
      </w:r>
      <w:r>
        <w:rPr>
          <w:rFonts w:hint="eastAsia" w:ascii="仿宋" w:hAnsi="仿宋" w:eastAsia="仿宋" w:cs="仿宋"/>
          <w:sz w:val="32"/>
          <w:szCs w:val="32"/>
        </w:rPr>
        <w:t>》（</w:t>
      </w:r>
      <w:r>
        <w:rPr>
          <w:rFonts w:hint="eastAsia" w:ascii="仿宋" w:hAnsi="仿宋" w:eastAsia="仿宋" w:cs="仿宋"/>
          <w:sz w:val="32"/>
          <w:szCs w:val="32"/>
          <w:lang w:eastAsia="zh-CN"/>
        </w:rPr>
        <w:t>明府法领〔</w:t>
      </w:r>
      <w:r>
        <w:rPr>
          <w:rFonts w:hint="eastAsia" w:ascii="仿宋" w:hAnsi="仿宋" w:eastAsia="仿宋" w:cs="仿宋"/>
          <w:sz w:val="32"/>
          <w:szCs w:val="32"/>
        </w:rPr>
        <w:t>20</w:t>
      </w:r>
      <w:r>
        <w:rPr>
          <w:rFonts w:hint="eastAsia" w:ascii="仿宋" w:hAnsi="仿宋" w:eastAsia="仿宋" w:cs="仿宋"/>
          <w:sz w:val="32"/>
          <w:szCs w:val="32"/>
          <w:lang w:val="en-US" w:eastAsia="zh-CN"/>
        </w:rPr>
        <w:t>21〕1</w:t>
      </w:r>
      <w:r>
        <w:rPr>
          <w:rFonts w:hint="eastAsia" w:ascii="仿宋" w:hAnsi="仿宋" w:eastAsia="仿宋" w:cs="仿宋"/>
          <w:sz w:val="32"/>
          <w:szCs w:val="32"/>
        </w:rPr>
        <w:t>号）要求，我</w:t>
      </w:r>
      <w:r>
        <w:rPr>
          <w:rFonts w:hint="eastAsia" w:ascii="仿宋" w:hAnsi="仿宋" w:eastAsia="仿宋" w:cs="仿宋"/>
          <w:sz w:val="32"/>
          <w:szCs w:val="32"/>
          <w:lang w:eastAsia="zh-CN"/>
        </w:rPr>
        <w:t>乡</w:t>
      </w:r>
      <w:r>
        <w:rPr>
          <w:rFonts w:hint="eastAsia" w:ascii="仿宋" w:hAnsi="仿宋" w:eastAsia="仿宋" w:cs="仿宋"/>
          <w:sz w:val="32"/>
          <w:szCs w:val="32"/>
        </w:rPr>
        <w:t>及时</w:t>
      </w:r>
      <w:r>
        <w:rPr>
          <w:rFonts w:hint="eastAsia" w:ascii="仿宋" w:hAnsi="仿宋" w:eastAsia="仿宋" w:cs="仿宋"/>
          <w:sz w:val="32"/>
          <w:szCs w:val="32"/>
          <w:lang w:eastAsia="zh-CN"/>
        </w:rPr>
        <w:t>对</w:t>
      </w:r>
      <w:r>
        <w:rPr>
          <w:rFonts w:hint="eastAsia" w:ascii="仿宋" w:hAnsi="仿宋" w:eastAsia="仿宋" w:cs="仿宋"/>
          <w:sz w:val="32"/>
          <w:szCs w:val="32"/>
          <w:lang w:val="en-US" w:eastAsia="zh-CN"/>
        </w:rPr>
        <w:t>2021年依法行政重点工作推进情况进行总结</w:t>
      </w:r>
      <w:r>
        <w:rPr>
          <w:rFonts w:hint="eastAsia" w:ascii="仿宋" w:hAnsi="仿宋" w:eastAsia="仿宋" w:cs="仿宋"/>
          <w:sz w:val="32"/>
          <w:szCs w:val="32"/>
        </w:rPr>
        <w:t>，现将</w:t>
      </w:r>
      <w:r>
        <w:rPr>
          <w:rFonts w:hint="eastAsia" w:ascii="仿宋" w:hAnsi="仿宋" w:eastAsia="仿宋" w:cs="仿宋"/>
          <w:sz w:val="32"/>
          <w:szCs w:val="32"/>
          <w:lang w:eastAsia="zh-CN"/>
        </w:rPr>
        <w:t>总结</w:t>
      </w:r>
      <w:r>
        <w:rPr>
          <w:rFonts w:hint="eastAsia" w:ascii="仿宋" w:hAnsi="仿宋" w:eastAsia="仿宋" w:cs="仿宋"/>
          <w:sz w:val="32"/>
          <w:szCs w:val="32"/>
        </w:rPr>
        <w:t>情况汇报如下：</w:t>
      </w:r>
    </w:p>
    <w:p>
      <w:pPr>
        <w:pStyle w:val="4"/>
        <w:keepNext w:val="0"/>
        <w:keepLines w:val="0"/>
        <w:widowControl/>
        <w:suppressLineNumbers w:val="0"/>
        <w:ind w:left="0"/>
        <w:rPr>
          <w:rFonts w:hint="eastAsia" w:ascii="仿宋" w:hAnsi="仿宋" w:eastAsia="仿宋" w:cs="仿宋"/>
          <w:sz w:val="32"/>
          <w:szCs w:val="32"/>
        </w:rPr>
      </w:pPr>
      <w:r>
        <w:rPr>
          <w:rFonts w:hint="eastAsia" w:ascii="仿宋_GB2312" w:hAnsi="仿宋_GB2312" w:eastAsia="仿宋_GB2312" w:cs="仿宋_GB2312"/>
          <w:sz w:val="32"/>
          <w:szCs w:val="40"/>
        </w:rPr>
        <w:t>　　</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年，我乡深入贯彻落实党的十九大</w:t>
      </w:r>
      <w:r>
        <w:rPr>
          <w:rFonts w:hint="eastAsia" w:ascii="仿宋" w:hAnsi="仿宋" w:eastAsia="仿宋" w:cs="仿宋"/>
          <w:sz w:val="32"/>
          <w:szCs w:val="32"/>
          <w:lang w:eastAsia="zh-CN"/>
        </w:rPr>
        <w:t>和十九届二中、三中、四中、五中全会</w:t>
      </w:r>
      <w:r>
        <w:rPr>
          <w:rFonts w:hint="eastAsia" w:ascii="仿宋" w:hAnsi="仿宋" w:eastAsia="仿宋" w:cs="仿宋"/>
          <w:sz w:val="32"/>
          <w:szCs w:val="32"/>
        </w:rPr>
        <w:t>精神，</w:t>
      </w:r>
      <w:r>
        <w:rPr>
          <w:rFonts w:hint="eastAsia" w:ascii="仿宋" w:hAnsi="仿宋" w:eastAsia="仿宋" w:cs="仿宋"/>
          <w:sz w:val="32"/>
          <w:szCs w:val="32"/>
          <w:lang w:eastAsia="zh-CN"/>
        </w:rPr>
        <w:t>贯彻落实习近平总书记全面依法治国新理念新思想新战略，</w:t>
      </w:r>
      <w:r>
        <w:rPr>
          <w:rFonts w:hint="eastAsia" w:ascii="仿宋" w:hAnsi="仿宋" w:eastAsia="仿宋" w:cs="仿宋"/>
          <w:sz w:val="32"/>
          <w:szCs w:val="32"/>
        </w:rPr>
        <w:t>在</w:t>
      </w:r>
      <w:r>
        <w:rPr>
          <w:rFonts w:hint="eastAsia" w:ascii="仿宋" w:hAnsi="仿宋" w:eastAsia="仿宋" w:cs="仿宋"/>
          <w:sz w:val="32"/>
          <w:szCs w:val="32"/>
          <w:lang w:eastAsia="zh-CN"/>
        </w:rPr>
        <w:t>市</w:t>
      </w:r>
      <w:r>
        <w:rPr>
          <w:rFonts w:hint="eastAsia" w:ascii="仿宋" w:hAnsi="仿宋" w:eastAsia="仿宋" w:cs="仿宋"/>
          <w:sz w:val="32"/>
          <w:szCs w:val="32"/>
        </w:rPr>
        <w:t>委、</w:t>
      </w:r>
      <w:r>
        <w:rPr>
          <w:rFonts w:hint="eastAsia" w:ascii="仿宋" w:hAnsi="仿宋" w:eastAsia="仿宋" w:cs="仿宋"/>
          <w:sz w:val="32"/>
          <w:szCs w:val="32"/>
          <w:lang w:eastAsia="zh-CN"/>
        </w:rPr>
        <w:t>市</w:t>
      </w:r>
      <w:r>
        <w:rPr>
          <w:rFonts w:hint="eastAsia" w:ascii="仿宋" w:hAnsi="仿宋" w:eastAsia="仿宋" w:cs="仿宋"/>
          <w:sz w:val="32"/>
          <w:szCs w:val="32"/>
        </w:rPr>
        <w:t>政府的统一领导下，坚持以十九大</w:t>
      </w:r>
      <w:r>
        <w:rPr>
          <w:rFonts w:hint="eastAsia" w:ascii="仿宋" w:hAnsi="仿宋" w:eastAsia="仿宋" w:cs="仿宋"/>
          <w:sz w:val="32"/>
          <w:szCs w:val="32"/>
          <w:lang w:eastAsia="zh-CN"/>
        </w:rPr>
        <w:t>和十九届二中、三中、四中、五中和六中全会</w:t>
      </w:r>
      <w:r>
        <w:rPr>
          <w:rFonts w:hint="eastAsia" w:ascii="仿宋" w:hAnsi="仿宋" w:eastAsia="仿宋" w:cs="仿宋"/>
          <w:sz w:val="32"/>
          <w:szCs w:val="32"/>
        </w:rPr>
        <w:t>重要精神为指导，紧紧围绕全乡中心工作，以建立健全制度为基础，以创建法治政府、提升依法行政水平为目标，强化组织领导、狠抓工作落实，依法行政工作顺利推进，并取得了一定成效。</w:t>
      </w:r>
    </w:p>
    <w:p>
      <w:pPr>
        <w:pStyle w:val="4"/>
        <w:keepNext w:val="0"/>
        <w:keepLines w:val="0"/>
        <w:widowControl/>
        <w:suppressLineNumbers w:val="0"/>
        <w:ind w:left="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一、健全制度、强化领导，依法行政工作保障有力</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(一)领导重视，完善依法行政工作网络。乡</w:t>
      </w:r>
      <w:r>
        <w:rPr>
          <w:rFonts w:hint="eastAsia" w:ascii="仿宋" w:hAnsi="仿宋" w:eastAsia="仿宋" w:cs="仿宋"/>
          <w:sz w:val="32"/>
          <w:szCs w:val="32"/>
          <w:lang w:eastAsia="zh-CN"/>
        </w:rPr>
        <w:t>党委</w:t>
      </w:r>
      <w:r>
        <w:rPr>
          <w:rFonts w:hint="eastAsia" w:ascii="仿宋" w:hAnsi="仿宋" w:eastAsia="仿宋" w:cs="仿宋"/>
          <w:sz w:val="32"/>
          <w:szCs w:val="32"/>
        </w:rPr>
        <w:t>政府始终对依法行政工作给予高度重视，将其摆上重要议事日程，根据人员变动，及时调整依法行政工作领导小组，做到人员变动、组织不乱、工作不断。进一步明确领导小组工作职责，领导小组负责研究制定全乡推进依法行政实施意见、工作计划，检查、指导和督促全乡依法行政工作。</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二)明确责任，确保各项工作落到实处。乡党委、政府落实年度依法行政工作目标责任制，强化监督机制，各单位，各部门的主要负责人作为第一责任人，对本单位、本部门推进依法行政工作负总责，形成一级抓一级，逐级抓落实的层级工作体系。做到依法行政工作整体有人抓，具体工作有人做，事后监督有人管，保证依法行政各项工作落到实处。</w:t>
      </w:r>
    </w:p>
    <w:p>
      <w:pPr>
        <w:pStyle w:val="4"/>
        <w:keepNext w:val="0"/>
        <w:keepLines w:val="0"/>
        <w:widowControl/>
        <w:suppressLineNumbers w:val="0"/>
        <w:ind w:left="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二、加强学习、规范作为，法治型政府建设有序开展</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(一)加大学习培训。按照“统一组织、分级分类、全员培训”的要求，明确不同层次对象的培训办法、培训内容和培训考核，确保学习培训效果，举办了领导干部、企业负责人培训班。</w:t>
      </w:r>
    </w:p>
    <w:p>
      <w:pPr>
        <w:pStyle w:val="4"/>
        <w:keepNext w:val="0"/>
        <w:keepLines w:val="0"/>
        <w:widowControl/>
        <w:suppressLineNumbers w:val="0"/>
        <w:ind w:left="0" w:firstLine="640" w:firstLineChars="200"/>
        <w:rPr>
          <w:rFonts w:hint="eastAsia" w:ascii="仿宋" w:hAnsi="仿宋" w:eastAsia="仿宋" w:cs="仿宋"/>
          <w:sz w:val="32"/>
          <w:szCs w:val="32"/>
          <w:highlight w:val="none"/>
          <w:lang w:eastAsia="zh-CN"/>
        </w:rPr>
      </w:pPr>
      <w:r>
        <w:rPr>
          <w:rFonts w:hint="eastAsia" w:ascii="仿宋" w:hAnsi="仿宋" w:eastAsia="仿宋" w:cs="仿宋"/>
          <w:sz w:val="32"/>
          <w:szCs w:val="32"/>
        </w:rPr>
        <w:t>(二)加强</w:t>
      </w:r>
      <w:r>
        <w:rPr>
          <w:rFonts w:hint="eastAsia" w:ascii="仿宋" w:hAnsi="仿宋" w:eastAsia="仿宋" w:cs="仿宋"/>
          <w:sz w:val="32"/>
          <w:szCs w:val="32"/>
          <w:lang w:eastAsia="zh-CN"/>
        </w:rPr>
        <w:t>法治</w:t>
      </w:r>
      <w:r>
        <w:rPr>
          <w:rFonts w:hint="eastAsia" w:ascii="仿宋" w:hAnsi="仿宋" w:eastAsia="仿宋" w:cs="仿宋"/>
          <w:sz w:val="32"/>
          <w:szCs w:val="32"/>
        </w:rPr>
        <w:t>宣传教育。按照</w:t>
      </w:r>
      <w:r>
        <w:rPr>
          <w:rFonts w:hint="eastAsia" w:ascii="仿宋" w:hAnsi="仿宋" w:eastAsia="仿宋" w:cs="仿宋"/>
          <w:sz w:val="32"/>
          <w:szCs w:val="32"/>
          <w:highlight w:val="none"/>
        </w:rPr>
        <w:t>全</w:t>
      </w:r>
      <w:r>
        <w:rPr>
          <w:rFonts w:hint="eastAsia" w:ascii="仿宋" w:hAnsi="仿宋" w:eastAsia="仿宋" w:cs="仿宋"/>
          <w:sz w:val="32"/>
          <w:szCs w:val="32"/>
          <w:highlight w:val="none"/>
          <w:lang w:eastAsia="zh-CN"/>
        </w:rPr>
        <w:t>市</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八</w:t>
      </w:r>
      <w:r>
        <w:rPr>
          <w:rFonts w:hint="eastAsia" w:ascii="仿宋" w:hAnsi="仿宋" w:eastAsia="仿宋" w:cs="仿宋"/>
          <w:sz w:val="32"/>
          <w:szCs w:val="32"/>
          <w:highlight w:val="none"/>
        </w:rPr>
        <w:t>五”普法规划和年度普法工作重点，坚持每季度由司法所牵头，会同乡级有关部门，共同组织开展法治宣传活动。同时利</w:t>
      </w:r>
      <w:r>
        <w:rPr>
          <w:rFonts w:hint="eastAsia" w:ascii="仿宋" w:hAnsi="仿宋" w:eastAsia="仿宋" w:cs="仿宋"/>
          <w:sz w:val="32"/>
          <w:szCs w:val="32"/>
        </w:rPr>
        <w:t>用重大节日等人员集中的场合，采用法治文艺演出、法律咨询、发放宣传单等形式，向广大人民群众宣传政府依法行政、创建“法治示范乡”的重大意义、目标任务和方式措施，普及法律知识，增强法治观念和法律意识，营造创建工作的舆论氛围。扎实开展宪法</w:t>
      </w:r>
      <w:r>
        <w:rPr>
          <w:rFonts w:hint="eastAsia" w:ascii="仿宋" w:hAnsi="仿宋" w:eastAsia="仿宋" w:cs="仿宋"/>
          <w:sz w:val="32"/>
          <w:szCs w:val="32"/>
          <w:highlight w:val="none"/>
        </w:rPr>
        <w:t>日法治宣传月活动，在主要</w:t>
      </w:r>
      <w:r>
        <w:rPr>
          <w:rFonts w:hint="eastAsia" w:ascii="仿宋" w:hAnsi="仿宋" w:eastAsia="仿宋" w:cs="仿宋"/>
          <w:sz w:val="32"/>
          <w:szCs w:val="32"/>
          <w:highlight w:val="none"/>
          <w:lang w:eastAsia="zh-CN"/>
        </w:rPr>
        <w:t>泊岗村</w:t>
      </w:r>
      <w:r>
        <w:rPr>
          <w:rFonts w:hint="eastAsia" w:ascii="仿宋" w:hAnsi="仿宋" w:eastAsia="仿宋" w:cs="仿宋"/>
          <w:sz w:val="32"/>
          <w:szCs w:val="32"/>
          <w:highlight w:val="none"/>
        </w:rPr>
        <w:t>主要街道、路口悬挂宣传横幅</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，设立法治宣传栏10多块，办黑板报，向广大群众散发宣传手册，发放各类宣传资料</w:t>
      </w:r>
      <w:r>
        <w:rPr>
          <w:rFonts w:hint="eastAsia" w:ascii="仿宋" w:hAnsi="仿宋" w:eastAsia="仿宋" w:cs="仿宋"/>
          <w:sz w:val="32"/>
          <w:szCs w:val="32"/>
          <w:highlight w:val="none"/>
          <w:lang w:val="en-US" w:eastAsia="zh-CN"/>
        </w:rPr>
        <w:t>20</w:t>
      </w:r>
      <w:r>
        <w:rPr>
          <w:rFonts w:hint="eastAsia" w:ascii="仿宋" w:hAnsi="仿宋" w:eastAsia="仿宋" w:cs="仿宋"/>
          <w:sz w:val="32"/>
          <w:szCs w:val="32"/>
          <w:highlight w:val="none"/>
        </w:rPr>
        <w:t>00多份，接受群众咨询</w:t>
      </w:r>
      <w:r>
        <w:rPr>
          <w:rFonts w:hint="eastAsia" w:ascii="仿宋" w:hAnsi="仿宋" w:eastAsia="仿宋" w:cs="仿宋"/>
          <w:sz w:val="32"/>
          <w:szCs w:val="32"/>
          <w:highlight w:val="none"/>
          <w:lang w:val="en-US" w:eastAsia="zh-CN"/>
        </w:rPr>
        <w:t>40</w:t>
      </w:r>
      <w:r>
        <w:rPr>
          <w:rFonts w:hint="eastAsia" w:ascii="仿宋" w:hAnsi="仿宋" w:eastAsia="仿宋" w:cs="仿宋"/>
          <w:sz w:val="32"/>
          <w:szCs w:val="32"/>
          <w:highlight w:val="none"/>
        </w:rPr>
        <w:t>0多人次，</w:t>
      </w:r>
      <w:r>
        <w:rPr>
          <w:rFonts w:hint="eastAsia" w:ascii="仿宋" w:hAnsi="仿宋" w:eastAsia="仿宋" w:cs="仿宋"/>
          <w:sz w:val="32"/>
          <w:szCs w:val="32"/>
          <w:highlight w:val="none"/>
          <w:lang w:eastAsia="zh-CN"/>
        </w:rPr>
        <w:t>得到辖区群众的一致好评，为泊岗的法治宣传教育奠定了良好的基础。</w:t>
      </w:r>
    </w:p>
    <w:p>
      <w:pPr>
        <w:pStyle w:val="4"/>
        <w:keepNext w:val="0"/>
        <w:keepLines w:val="0"/>
        <w:widowControl/>
        <w:suppressLineNumbers w:val="0"/>
        <w:ind w:firstLine="640" w:firstLineChars="200"/>
        <w:rPr>
          <w:rFonts w:hint="eastAsia" w:ascii="仿宋" w:hAnsi="仿宋" w:eastAsia="仿宋" w:cs="仿宋"/>
          <w:sz w:val="32"/>
          <w:szCs w:val="32"/>
        </w:rPr>
      </w:pPr>
      <w:r>
        <w:rPr>
          <w:rFonts w:hint="eastAsia" w:ascii="仿宋" w:hAnsi="仿宋" w:eastAsia="仿宋" w:cs="仿宋"/>
          <w:sz w:val="32"/>
          <w:szCs w:val="32"/>
        </w:rPr>
        <w:t>(三)规范行政行为。引导和激励机关工作人员特别是执法人员学法、守法，树立严格依法办事理念，特别是领导干部的合法行政、合理行政，做到程序正当、高效便民、诚实守信、责权统一，加强对执法行为的监督，形成用制度管人，依法办事公平公正的良好局面。</w:t>
      </w:r>
    </w:p>
    <w:p>
      <w:pPr>
        <w:pStyle w:val="4"/>
        <w:keepNext w:val="0"/>
        <w:keepLines w:val="0"/>
        <w:widowControl/>
        <w:suppressLineNumbers w:val="0"/>
        <w:ind w:left="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三、转变职能</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提高效率，服务性政府建设深入实施</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一)完善社会稳定机制。建立健全突发事件的应急处理机制。完善社会预警体系、应急机制、社会动员机制。努力形成“横向到边、纵向到底”的工作机制，建立统一领导、分级负责、职责明确、运转有序、反应迅速、处置有力的工作领导小组。</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二)加强行政监督，提高监督实效。自觉接受人大法律监督，认真履行重大事项报告制度，认真办理代表提出的意见和建议，全心全意为发展服务、为基层服务、为群众服务。同时主动接受政协的民主监督，听取其对政府工作的建议和提案，并责成有关部门及时答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highlight w:val="yellow"/>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简政放权、放管结合、优化</w:t>
      </w:r>
      <w:r>
        <w:rPr>
          <w:rFonts w:hint="eastAsia" w:ascii="仿宋" w:hAnsi="仿宋" w:eastAsia="仿宋" w:cs="仿宋"/>
          <w:sz w:val="32"/>
          <w:szCs w:val="32"/>
          <w:lang w:eastAsia="zh-CN"/>
        </w:rPr>
        <w:t>政务</w:t>
      </w:r>
      <w:r>
        <w:rPr>
          <w:rFonts w:hint="eastAsia" w:ascii="仿宋" w:hAnsi="仿宋" w:eastAsia="仿宋" w:cs="仿宋"/>
          <w:sz w:val="32"/>
          <w:szCs w:val="32"/>
        </w:rPr>
        <w:t>服务改革推向纵深</w:t>
      </w:r>
      <w:r>
        <w:rPr>
          <w:rFonts w:hint="eastAsia" w:ascii="仿宋" w:hAnsi="仿宋" w:eastAsia="仿宋" w:cs="仿宋"/>
          <w:sz w:val="32"/>
          <w:szCs w:val="32"/>
          <w:lang w:eastAsia="zh-CN"/>
        </w:rPr>
        <w:t>。</w:t>
      </w:r>
      <w:r>
        <w:rPr>
          <w:rFonts w:hint="eastAsia" w:ascii="仿宋" w:hAnsi="仿宋" w:eastAsia="仿宋" w:cs="仿宋"/>
          <w:sz w:val="32"/>
          <w:szCs w:val="32"/>
        </w:rPr>
        <w:t>为加快推进“互联网+政务服务”工作，切实提高政务服务质量与实效，</w:t>
      </w:r>
      <w:r>
        <w:rPr>
          <w:rFonts w:hint="eastAsia" w:ascii="仿宋" w:hAnsi="仿宋" w:eastAsia="仿宋" w:cs="仿宋"/>
          <w:sz w:val="32"/>
          <w:szCs w:val="32"/>
          <w:lang w:eastAsia="zh-CN"/>
        </w:rPr>
        <w:t>泊岗乡</w:t>
      </w:r>
      <w:r>
        <w:rPr>
          <w:rFonts w:hint="eastAsia" w:ascii="仿宋" w:hAnsi="仿宋" w:eastAsia="仿宋" w:cs="仿宋"/>
          <w:sz w:val="32"/>
          <w:szCs w:val="32"/>
        </w:rPr>
        <w:t>党委、政府高度重视，精心组织把“互联网+政务服务”工作作为转变政府职能、优化服务的重要抓手，不断创新拓展服务方式，通过抓好监督管理和各项便民措施，落实抓实政务服务网上大厅建设</w:t>
      </w:r>
      <w:r>
        <w:rPr>
          <w:rFonts w:hint="eastAsia" w:ascii="仿宋" w:hAnsi="仿宋" w:eastAsia="仿宋" w:cs="仿宋"/>
          <w:sz w:val="32"/>
          <w:szCs w:val="32"/>
          <w:lang w:eastAsia="zh-CN"/>
        </w:rPr>
        <w:t>。</w:t>
      </w:r>
    </w:p>
    <w:p>
      <w:pPr>
        <w:pStyle w:val="4"/>
        <w:keepNext w:val="0"/>
        <w:keepLines w:val="0"/>
        <w:widowControl/>
        <w:suppressLineNumbers w:val="0"/>
        <w:ind w:left="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四、改进作风、强化监督，阳光型政府建设稳步推进</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一)健全行政决策机制，提高行政决策水平。完善行政决策程序，建立决策纠错机制，实行行政问责制度，是依法决策、科学决策、民主决策的重要保障，有利于行政机关谨慎决策，防止决策的盲目性、随意性，避免决策失误。乡政府建立领导干部决策责任追究制度，通过监督考核、民意测验、抽样调查、跟踪反馈、评估审查等方式，及时发现并纠正决策执行中存在的问题，适时调整和完善决策。对违反规定导致决策失误的，依法实行行政问责，追究行政过错责任，切实做到“有权必有责，用权受监督，违法要追究”。</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二)加强规范性文件审查备案，完善政府法制建设。认真做好规范性文件制定、清理和发布工作，坚持立、改、废并重。完善行政发文机制，规范发文程序，为强化对规范性文件的备案审查力度，乡政府制定了规范性文件管理办法，对部门规范性文件由事后审查改为事前审查，严格了备案审查的原则、内容、程序等，有效遏制了滥发规范性文件的现象。</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(三)加大政府信息公开力度，提高政府工作透明度。今年，我乡进一步加大政府信息公开力度，按照《政府信息公开条例》的要求，依托</w:t>
      </w:r>
      <w:r>
        <w:rPr>
          <w:rFonts w:hint="eastAsia" w:ascii="仿宋" w:hAnsi="仿宋" w:eastAsia="仿宋" w:cs="仿宋"/>
          <w:sz w:val="32"/>
          <w:szCs w:val="32"/>
          <w:lang w:eastAsia="zh-CN"/>
        </w:rPr>
        <w:t>明光市</w:t>
      </w:r>
      <w:r>
        <w:rPr>
          <w:rFonts w:hint="eastAsia" w:ascii="仿宋" w:hAnsi="仿宋" w:eastAsia="仿宋" w:cs="仿宋"/>
          <w:sz w:val="32"/>
          <w:szCs w:val="32"/>
        </w:rPr>
        <w:t>人民政府门户网站，政府信息公开栏等宣传阵地，全面公开政务信息，保证人民群众的知情权、参与权和监督权，接受社会监督，不仅规范了政府依法行政行为，也便于群众对权力运行的监督，有效杜绝“吃拿卡要”和“冷横硬推”等不良行为的发生。</w:t>
      </w:r>
    </w:p>
    <w:p>
      <w:pPr>
        <w:pStyle w:val="4"/>
        <w:keepNext w:val="0"/>
        <w:keepLines w:val="0"/>
        <w:widowControl/>
        <w:suppressLineNumbers w:val="0"/>
        <w:ind w:left="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五、加强排查、强化调处，筑牢维稳第一道防线</w:t>
      </w:r>
    </w:p>
    <w:p>
      <w:pPr>
        <w:pStyle w:val="4"/>
        <w:keepNext w:val="0"/>
        <w:keepLines w:val="0"/>
        <w:widowControl/>
        <w:suppressLineNumbers w:val="0"/>
        <w:ind w:left="0"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(一)定期开展社会矛盾纠纷排查调处工作，巩固维护“横向到边、纵向到底”的调解网</w:t>
      </w:r>
      <w:r>
        <w:rPr>
          <w:rFonts w:hint="eastAsia" w:ascii="仿宋" w:hAnsi="仿宋" w:eastAsia="仿宋" w:cs="仿宋"/>
          <w:sz w:val="32"/>
          <w:szCs w:val="32"/>
          <w:highlight w:val="none"/>
        </w:rPr>
        <w:t>络。同时要求</w:t>
      </w:r>
      <w:r>
        <w:rPr>
          <w:rFonts w:hint="eastAsia" w:ascii="仿宋" w:hAnsi="仿宋" w:eastAsia="仿宋" w:cs="仿宋"/>
          <w:sz w:val="32"/>
          <w:szCs w:val="32"/>
          <w:highlight w:val="none"/>
          <w:lang w:eastAsia="zh-CN"/>
        </w:rPr>
        <w:t>全乡</w:t>
      </w:r>
      <w:r>
        <w:rPr>
          <w:rFonts w:hint="eastAsia" w:ascii="仿宋" w:hAnsi="仿宋" w:eastAsia="仿宋" w:cs="仿宋"/>
          <w:sz w:val="32"/>
          <w:szCs w:val="32"/>
          <w:highlight w:val="none"/>
        </w:rPr>
        <w:t>调委会认真贯彻落实“周排查、周月汇总、季分析”的矛盾排查化解工作制度，适时地开展重点时期社会矛盾纠纷集中排查调处活动。</w:t>
      </w:r>
    </w:p>
    <w:p>
      <w:pPr>
        <w:pStyle w:val="4"/>
        <w:keepNext w:val="0"/>
        <w:keepLines w:val="0"/>
        <w:widowControl/>
        <w:suppressLineNumbers w:val="0"/>
        <w:ind w:left="0"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(二)根据上级要求，进一步规范了纠纷人民调解卷宗的完整性以及调解文书制作的规范性</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每季度组织乡、村两级调解员进行人民调解业务技能培训，全年共开展</w:t>
      </w:r>
      <w:r>
        <w:rPr>
          <w:rFonts w:hint="eastAsia" w:ascii="仿宋" w:hAnsi="仿宋" w:eastAsia="仿宋" w:cs="仿宋"/>
          <w:sz w:val="32"/>
          <w:szCs w:val="32"/>
          <w:highlight w:val="none"/>
          <w:lang w:val="en-US" w:eastAsia="zh-CN"/>
        </w:rPr>
        <w:t>3次。</w:t>
      </w:r>
      <w:r>
        <w:rPr>
          <w:rFonts w:hint="eastAsia" w:ascii="仿宋" w:hAnsi="仿宋" w:eastAsia="仿宋" w:cs="仿宋"/>
          <w:sz w:val="32"/>
          <w:szCs w:val="32"/>
          <w:highlight w:val="none"/>
        </w:rPr>
        <w:t>同时建立人民调解业务工作微信交流群，为全乡各调委会、调解员交流、学习、咨询提供平台。</w:t>
      </w:r>
    </w:p>
    <w:p>
      <w:pPr>
        <w:pStyle w:val="4"/>
        <w:keepNext w:val="0"/>
        <w:keepLines w:val="0"/>
        <w:widowControl/>
        <w:suppressLineNumbers w:val="0"/>
        <w:ind w:left="0"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(三)围绕重点疑难信访案件，开展挂钩领导包案调解工作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截至目除，涉访人员情绪稳定，无越级上访、闹访情况发生。截止目前，</w:t>
      </w:r>
      <w:r>
        <w:rPr>
          <w:rFonts w:hint="eastAsia" w:ascii="仿宋" w:hAnsi="仿宋" w:eastAsia="仿宋" w:cs="仿宋"/>
          <w:sz w:val="32"/>
          <w:szCs w:val="32"/>
          <w:highlight w:val="none"/>
          <w:lang w:eastAsia="zh-CN"/>
        </w:rPr>
        <w:t>乡、村两级调委会共调处各</w:t>
      </w:r>
      <w:r>
        <w:rPr>
          <w:rFonts w:hint="eastAsia" w:ascii="仿宋" w:hAnsi="仿宋" w:eastAsia="仿宋" w:cs="仿宋"/>
          <w:sz w:val="32"/>
          <w:szCs w:val="32"/>
          <w:highlight w:val="none"/>
        </w:rPr>
        <w:t>类民事纠纷</w:t>
      </w:r>
      <w:r>
        <w:rPr>
          <w:rFonts w:hint="eastAsia" w:ascii="仿宋" w:hAnsi="仿宋" w:eastAsia="仿宋" w:cs="仿宋"/>
          <w:sz w:val="32"/>
          <w:szCs w:val="32"/>
          <w:highlight w:val="none"/>
          <w:lang w:val="en-US" w:eastAsia="zh-CN"/>
        </w:rPr>
        <w:t>160</w:t>
      </w:r>
      <w:r>
        <w:rPr>
          <w:rFonts w:hint="eastAsia" w:ascii="仿宋" w:hAnsi="仿宋" w:eastAsia="仿宋" w:cs="仿宋"/>
          <w:sz w:val="32"/>
          <w:szCs w:val="32"/>
          <w:highlight w:val="none"/>
        </w:rPr>
        <w:t>件;共计主持调解纠纷</w:t>
      </w:r>
      <w:r>
        <w:rPr>
          <w:rFonts w:hint="eastAsia" w:ascii="仿宋" w:hAnsi="仿宋" w:eastAsia="仿宋" w:cs="仿宋"/>
          <w:sz w:val="32"/>
          <w:szCs w:val="32"/>
          <w:highlight w:val="none"/>
          <w:lang w:val="en-US" w:eastAsia="zh-CN"/>
        </w:rPr>
        <w:t>24</w:t>
      </w:r>
      <w:r>
        <w:rPr>
          <w:rFonts w:hint="eastAsia" w:ascii="仿宋" w:hAnsi="仿宋" w:eastAsia="仿宋" w:cs="仿宋"/>
          <w:sz w:val="32"/>
          <w:szCs w:val="32"/>
          <w:highlight w:val="none"/>
        </w:rPr>
        <w:t>件，调解成功</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3件，其中参调率为100%，调解成功率</w:t>
      </w:r>
      <w:r>
        <w:rPr>
          <w:rFonts w:hint="eastAsia" w:ascii="仿宋" w:hAnsi="仿宋" w:eastAsia="仿宋" w:cs="仿宋"/>
          <w:sz w:val="32"/>
          <w:szCs w:val="32"/>
          <w:highlight w:val="none"/>
          <w:lang w:val="en-US" w:eastAsia="zh-CN"/>
        </w:rPr>
        <w:t>95.8</w:t>
      </w:r>
      <w:r>
        <w:rPr>
          <w:rFonts w:hint="eastAsia" w:ascii="仿宋" w:hAnsi="仿宋" w:eastAsia="仿宋" w:cs="仿宋"/>
          <w:sz w:val="32"/>
          <w:szCs w:val="32"/>
          <w:highlight w:val="none"/>
        </w:rPr>
        <w:t>%，调解未成功案件均已及时告知当事人解决途径，真正达做到了把矛盾化解在基层，大事不出乡，小事不出村，化解矛盾在基层，有力地维护了</w:t>
      </w:r>
      <w:r>
        <w:rPr>
          <w:rFonts w:hint="eastAsia" w:ascii="仿宋" w:hAnsi="仿宋" w:eastAsia="仿宋" w:cs="仿宋"/>
          <w:sz w:val="32"/>
          <w:szCs w:val="32"/>
          <w:highlight w:val="none"/>
          <w:lang w:eastAsia="zh-CN"/>
        </w:rPr>
        <w:t>泊岗乡</w:t>
      </w:r>
      <w:r>
        <w:rPr>
          <w:rFonts w:hint="eastAsia" w:ascii="仿宋" w:hAnsi="仿宋" w:eastAsia="仿宋" w:cs="仿宋"/>
          <w:sz w:val="32"/>
          <w:szCs w:val="32"/>
          <w:highlight w:val="none"/>
        </w:rPr>
        <w:t>的和谐稳定。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lang w:eastAsia="zh-CN"/>
        </w:rPr>
        <w:t>提前防范、多措并举，守住安全生产堡垒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sz w:val="32"/>
          <w:szCs w:val="32"/>
          <w:lang w:val="en-US" w:eastAsia="zh-CN"/>
        </w:rPr>
        <w:t>（一）强化检查监督，建立健全监管执法机制。</w:t>
      </w:r>
      <w:r>
        <w:rPr>
          <w:rFonts w:hint="eastAsia" w:ascii="仿宋" w:hAnsi="仿宋" w:eastAsia="仿宋" w:cs="仿宋"/>
          <w:sz w:val="32"/>
          <w:szCs w:val="32"/>
          <w:lang w:eastAsia="zh-CN"/>
        </w:rPr>
        <w:t>我乡先后制定</w:t>
      </w:r>
      <w:r>
        <w:rPr>
          <w:rFonts w:hint="eastAsia" w:ascii="仿宋" w:hAnsi="仿宋" w:eastAsia="仿宋" w:cs="仿宋"/>
          <w:color w:val="auto"/>
          <w:sz w:val="32"/>
          <w:szCs w:val="32"/>
          <w:lang w:val="en-US" w:eastAsia="zh-CN"/>
        </w:rPr>
        <w:t>《泊岗乡开展2021年“安全生产月”和“安全生产泊岗行”活动方案》、</w:t>
      </w:r>
      <w:r>
        <w:rPr>
          <w:rFonts w:hint="eastAsia" w:ascii="仿宋" w:hAnsi="仿宋" w:eastAsia="仿宋" w:cs="仿宋"/>
          <w:color w:val="auto"/>
          <w:sz w:val="32"/>
          <w:szCs w:val="32"/>
          <w:highlight w:val="none"/>
          <w:lang w:val="en-US" w:eastAsia="zh-CN"/>
        </w:rPr>
        <w:t>《泊岗乡安全生产集中整治工作方案》、</w:t>
      </w:r>
      <w:r>
        <w:rPr>
          <w:rFonts w:hint="eastAsia" w:ascii="仿宋" w:hAnsi="仿宋" w:eastAsia="仿宋" w:cs="仿宋"/>
          <w:color w:val="auto"/>
          <w:sz w:val="32"/>
          <w:szCs w:val="32"/>
          <w:lang w:val="en-US" w:eastAsia="zh-CN"/>
        </w:rPr>
        <w:t>等专项治理方案。结合我乡实际，围绕安全生产工作重点，先后开展了中秋国庆“两节”、集中开展安全风险隐患排查治理专项行动及各项专项安全生产检查等安全生产工作。</w:t>
      </w:r>
      <w:r>
        <w:rPr>
          <w:rFonts w:hint="eastAsia" w:ascii="仿宋" w:hAnsi="仿宋" w:eastAsia="仿宋" w:cs="仿宋"/>
          <w:color w:val="auto"/>
          <w:sz w:val="32"/>
          <w:szCs w:val="32"/>
          <w:highlight w:val="none"/>
          <w:lang w:val="en-US" w:eastAsia="zh-CN"/>
        </w:rPr>
        <w:t>突出重点领域、重点行业、重点部门的监管执法检查50次，参加人员达120人次，排查出各类隐患问题115项，下达整改通知单65份，开展回头看检查4次，已完成整改115项。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强化考核机制，提升安全监管工作成效。我乡把安全生产工作纳入年度目标绩效、社会管理综合治理、文明创建考评和干部政绩业绩考核之中，制定考核标准，严格考核评比，实行“一票否优”，用制度保证安全生产各项工作的有效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sz w:val="32"/>
          <w:szCs w:val="32"/>
          <w:lang w:val="en-US" w:eastAsia="zh-CN"/>
        </w:rPr>
        <w:t>（三）强化宣传教育，提升全民参与的氛围。</w:t>
      </w:r>
      <w:r>
        <w:rPr>
          <w:rFonts w:hint="eastAsia" w:ascii="仿宋" w:hAnsi="仿宋" w:eastAsia="仿宋" w:cs="仿宋"/>
          <w:color w:val="auto"/>
          <w:sz w:val="32"/>
          <w:szCs w:val="32"/>
          <w:highlight w:val="none"/>
          <w:lang w:val="en-US" w:eastAsia="zh-CN"/>
        </w:rPr>
        <w:t>我乡2021年以来，</w:t>
      </w:r>
      <w:r>
        <w:rPr>
          <w:rFonts w:hint="eastAsia" w:ascii="仿宋" w:hAnsi="仿宋" w:eastAsia="仿宋" w:cs="仿宋"/>
          <w:color w:val="auto"/>
          <w:sz w:val="32"/>
          <w:szCs w:val="32"/>
          <w:highlight w:val="none"/>
        </w:rPr>
        <w:t>制作</w:t>
      </w:r>
      <w:r>
        <w:rPr>
          <w:rFonts w:hint="eastAsia" w:ascii="仿宋" w:hAnsi="仿宋" w:eastAsia="仿宋" w:cs="仿宋"/>
          <w:color w:val="auto"/>
          <w:sz w:val="32"/>
          <w:szCs w:val="32"/>
          <w:highlight w:val="none"/>
          <w:lang w:val="en-US" w:eastAsia="zh-CN"/>
        </w:rPr>
        <w:t>各类</w:t>
      </w:r>
      <w:r>
        <w:rPr>
          <w:rFonts w:hint="eastAsia" w:ascii="仿宋" w:hAnsi="仿宋" w:eastAsia="仿宋" w:cs="仿宋"/>
          <w:color w:val="auto"/>
          <w:sz w:val="32"/>
          <w:szCs w:val="32"/>
          <w:highlight w:val="none"/>
        </w:rPr>
        <w:t>安全生产宣传条幅14个、大型展板1个、安全生产宣传专栏1组；</w:t>
      </w:r>
      <w:r>
        <w:rPr>
          <w:rFonts w:hint="eastAsia" w:ascii="仿宋" w:hAnsi="仿宋" w:eastAsia="仿宋" w:cs="仿宋"/>
          <w:color w:val="auto"/>
          <w:sz w:val="32"/>
          <w:szCs w:val="32"/>
          <w:highlight w:val="none"/>
          <w:lang w:val="en-US" w:eastAsia="zh-CN"/>
        </w:rPr>
        <w:t>持续</w:t>
      </w:r>
      <w:r>
        <w:rPr>
          <w:rFonts w:hint="eastAsia" w:ascii="仿宋" w:hAnsi="仿宋" w:eastAsia="仿宋" w:cs="仿宋"/>
          <w:color w:val="auto"/>
          <w:sz w:val="32"/>
          <w:szCs w:val="32"/>
          <w:highlight w:val="none"/>
        </w:rPr>
        <w:t>开展安全生产“七进”活动宣传，印发各类宣传材料</w:t>
      </w: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00余份；</w:t>
      </w:r>
      <w:r>
        <w:rPr>
          <w:rFonts w:hint="eastAsia" w:ascii="仿宋" w:hAnsi="仿宋" w:eastAsia="仿宋" w:cs="仿宋"/>
          <w:color w:val="auto"/>
          <w:sz w:val="32"/>
          <w:szCs w:val="32"/>
        </w:rPr>
        <w:t>组织开展乡村两级干部进行安全生产法律法规知识学习和测试；积极组织人员参加网上安全生产知识答题竞赛；利用工作微信群、朋友圈等自媒体开展</w:t>
      </w:r>
      <w:r>
        <w:rPr>
          <w:rFonts w:hint="eastAsia" w:ascii="仿宋" w:hAnsi="仿宋" w:eastAsia="仿宋" w:cs="仿宋"/>
          <w:color w:val="auto"/>
          <w:sz w:val="32"/>
          <w:szCs w:val="32"/>
          <w:lang w:val="en-US" w:eastAsia="zh-CN"/>
        </w:rPr>
        <w:t>安全生产知识</w:t>
      </w:r>
      <w:r>
        <w:rPr>
          <w:rFonts w:hint="eastAsia" w:ascii="仿宋" w:hAnsi="仿宋" w:eastAsia="仿宋" w:cs="仿宋"/>
          <w:color w:val="auto"/>
          <w:sz w:val="32"/>
          <w:szCs w:val="32"/>
        </w:rPr>
        <w:t>宣传；</w:t>
      </w:r>
      <w:r>
        <w:rPr>
          <w:rFonts w:hint="eastAsia" w:ascii="仿宋" w:hAnsi="仿宋" w:eastAsia="仿宋" w:cs="仿宋"/>
          <w:color w:val="auto"/>
          <w:sz w:val="32"/>
          <w:szCs w:val="32"/>
          <w:highlight w:val="none"/>
          <w:lang w:val="en-US" w:eastAsia="zh-CN"/>
        </w:rPr>
        <w:t>组织</w:t>
      </w:r>
      <w:r>
        <w:rPr>
          <w:rFonts w:hint="eastAsia" w:ascii="仿宋" w:hAnsi="仿宋" w:eastAsia="仿宋" w:cs="仿宋"/>
          <w:color w:val="auto"/>
          <w:sz w:val="32"/>
          <w:szCs w:val="32"/>
          <w:highlight w:val="none"/>
          <w:lang w:eastAsia="zh-CN"/>
        </w:rPr>
        <w:t>召开各类演练</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lang w:eastAsia="zh-CN"/>
        </w:rPr>
        <w:t>次，全</w:t>
      </w:r>
      <w:r>
        <w:rPr>
          <w:rFonts w:hint="eastAsia" w:ascii="仿宋" w:hAnsi="仿宋" w:eastAsia="仿宋" w:cs="仿宋"/>
          <w:color w:val="auto"/>
          <w:sz w:val="32"/>
          <w:szCs w:val="32"/>
          <w:highlight w:val="none"/>
          <w:lang w:val="en-US" w:eastAsia="zh-CN"/>
        </w:rPr>
        <w:t>体</w:t>
      </w:r>
      <w:r>
        <w:rPr>
          <w:rFonts w:hint="eastAsia" w:ascii="仿宋" w:hAnsi="仿宋" w:eastAsia="仿宋" w:cs="仿宋"/>
          <w:color w:val="auto"/>
          <w:sz w:val="32"/>
          <w:szCs w:val="32"/>
          <w:highlight w:val="none"/>
          <w:lang w:eastAsia="zh-CN"/>
        </w:rPr>
        <w:t>乡、村干部及机关单位</w:t>
      </w:r>
      <w:r>
        <w:rPr>
          <w:rFonts w:hint="eastAsia" w:ascii="仿宋" w:hAnsi="仿宋" w:eastAsia="仿宋" w:cs="仿宋"/>
          <w:color w:val="auto"/>
          <w:sz w:val="32"/>
          <w:szCs w:val="32"/>
          <w:highlight w:val="none"/>
          <w:lang w:val="en-US" w:eastAsia="zh-CN"/>
        </w:rPr>
        <w:t>及企业商铺及敬老院参加了培训</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开展送安全知识进校园1次；播放</w:t>
      </w:r>
      <w:r>
        <w:rPr>
          <w:rFonts w:hint="eastAsia" w:ascii="仿宋" w:hAnsi="仿宋" w:eastAsia="仿宋" w:cs="仿宋"/>
          <w:color w:val="auto"/>
          <w:sz w:val="32"/>
          <w:szCs w:val="32"/>
          <w:highlight w:val="none"/>
        </w:rPr>
        <w:t>安全生产警示教育</w:t>
      </w:r>
      <w:r>
        <w:rPr>
          <w:rFonts w:hint="eastAsia" w:ascii="仿宋" w:hAnsi="仿宋" w:eastAsia="仿宋" w:cs="仿宋"/>
          <w:color w:val="auto"/>
          <w:sz w:val="32"/>
          <w:szCs w:val="32"/>
          <w:highlight w:val="none"/>
          <w:lang w:eastAsia="zh-CN"/>
        </w:rPr>
        <w:t>会议活动</w:t>
      </w:r>
      <w:r>
        <w:rPr>
          <w:rFonts w:hint="eastAsia" w:ascii="仿宋" w:hAnsi="仿宋" w:eastAsia="仿宋" w:cs="仿宋"/>
          <w:color w:val="auto"/>
          <w:sz w:val="32"/>
          <w:szCs w:val="32"/>
          <w:highlight w:val="none"/>
          <w:lang w:val="en-US" w:eastAsia="zh-CN"/>
        </w:rPr>
        <w:t>1次</w:t>
      </w:r>
      <w:r>
        <w:rPr>
          <w:rFonts w:hint="eastAsia" w:ascii="仿宋" w:hAnsi="仿宋" w:eastAsia="仿宋" w:cs="仿宋"/>
          <w:color w:val="auto"/>
          <w:sz w:val="32"/>
          <w:szCs w:val="32"/>
          <w:highlight w:val="none"/>
          <w:lang w:eastAsia="zh-CN"/>
        </w:rPr>
        <w:t>，总参会人数</w:t>
      </w:r>
      <w:r>
        <w:rPr>
          <w:rFonts w:hint="eastAsia" w:ascii="仿宋" w:hAnsi="仿宋" w:eastAsia="仿宋" w:cs="仿宋"/>
          <w:color w:val="auto"/>
          <w:sz w:val="32"/>
          <w:szCs w:val="32"/>
          <w:highlight w:val="none"/>
          <w:lang w:val="en-US" w:eastAsia="zh-CN"/>
        </w:rPr>
        <w:t>达100人。在</w:t>
      </w:r>
      <w:r>
        <w:rPr>
          <w:rFonts w:hint="eastAsia" w:ascii="仿宋" w:hAnsi="仿宋" w:eastAsia="仿宋" w:cs="仿宋"/>
          <w:color w:val="auto"/>
          <w:sz w:val="32"/>
          <w:szCs w:val="32"/>
          <w:highlight w:val="none"/>
        </w:rPr>
        <w:t>明光政府网</w:t>
      </w:r>
      <w:r>
        <w:rPr>
          <w:rFonts w:hint="eastAsia" w:ascii="仿宋" w:hAnsi="仿宋" w:eastAsia="仿宋" w:cs="仿宋"/>
          <w:color w:val="auto"/>
          <w:sz w:val="32"/>
          <w:szCs w:val="32"/>
          <w:highlight w:val="none"/>
          <w:lang w:val="en-US" w:eastAsia="zh-CN"/>
        </w:rPr>
        <w:t>及政务公开网等门户网站发稿56篇。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（四）强化应急管理，建立健全应急救援体系。</w:t>
      </w:r>
      <w:r>
        <w:rPr>
          <w:rFonts w:hint="eastAsia" w:ascii="仿宋" w:hAnsi="仿宋" w:eastAsia="仿宋" w:cs="仿宋"/>
          <w:color w:val="auto"/>
          <w:sz w:val="32"/>
          <w:szCs w:val="32"/>
        </w:rPr>
        <w:t>我乡先后在学校和敬老院组织开展了</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次应急逃生演练，分别是消防安全逃生演练</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次，地震逃生演练1次，参加人员约</w:t>
      </w:r>
      <w:r>
        <w:rPr>
          <w:rFonts w:hint="eastAsia" w:ascii="仿宋" w:hAnsi="仿宋" w:eastAsia="仿宋" w:cs="仿宋"/>
          <w:color w:val="auto"/>
          <w:sz w:val="32"/>
          <w:szCs w:val="32"/>
          <w:lang w:val="en-US" w:eastAsia="zh-CN"/>
        </w:rPr>
        <w:t>500</w:t>
      </w:r>
      <w:r>
        <w:rPr>
          <w:rFonts w:hint="eastAsia" w:ascii="仿宋" w:hAnsi="仿宋" w:eastAsia="仿宋" w:cs="仿宋"/>
          <w:color w:val="auto"/>
          <w:sz w:val="32"/>
          <w:szCs w:val="32"/>
        </w:rPr>
        <w:t>人。</w:t>
      </w:r>
    </w:p>
    <w:p>
      <w:pPr>
        <w:pStyle w:val="4"/>
        <w:keepNext w:val="0"/>
        <w:keepLines w:val="0"/>
        <w:widowControl/>
        <w:suppressLineNumbers w:val="0"/>
        <w:ind w:left="0"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、依法行政工作存在的</w:t>
      </w:r>
      <w:r>
        <w:rPr>
          <w:rFonts w:hint="eastAsia" w:ascii="黑体" w:hAnsi="黑体" w:eastAsia="黑体" w:cs="黑体"/>
          <w:b w:val="0"/>
          <w:bCs w:val="0"/>
          <w:sz w:val="32"/>
          <w:szCs w:val="32"/>
          <w:lang w:eastAsia="zh-CN"/>
        </w:rPr>
        <w:t>不足</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一是全民法治教育需要进一步加强，遵法、守法的自觉性有待进一步增强。农村中违法违规现象时有发生;二是政府及依法行政的能力需要进一步增强。特别要增强执法人员对法律的理解力、执行力和到位力;三是农村中新情况、新矛盾、新问题层出不穷，日益显现。对政府依法行政工作带来新的挑战和考验，政府依法行政的能力显得不够强，需要我们深入探讨，积极应对，以适应社会转型期的要求。</w:t>
      </w:r>
    </w:p>
    <w:p>
      <w:pPr>
        <w:pStyle w:val="4"/>
        <w:keepNext w:val="0"/>
        <w:keepLines w:val="0"/>
        <w:widowControl/>
        <w:suppressLineNumbers w:val="0"/>
        <w:ind w:left="0"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、下步工作计划</w:t>
      </w:r>
    </w:p>
    <w:p>
      <w:pPr>
        <w:pStyle w:val="4"/>
        <w:keepNext w:val="0"/>
        <w:keepLines w:val="0"/>
        <w:widowControl/>
        <w:suppressLineNumbers w:val="0"/>
        <w:ind w:left="0" w:firstLine="640" w:firstLineChars="200"/>
        <w:rPr>
          <w:rFonts w:hint="eastAsia" w:ascii="仿宋" w:hAnsi="仿宋" w:eastAsia="仿宋" w:cs="仿宋"/>
          <w:sz w:val="32"/>
          <w:szCs w:val="32"/>
          <w:highlight w:val="yellow"/>
        </w:rPr>
      </w:pPr>
      <w:r>
        <w:rPr>
          <w:rFonts w:hint="eastAsia" w:ascii="仿宋" w:hAnsi="仿宋" w:eastAsia="仿宋" w:cs="仿宋"/>
          <w:sz w:val="32"/>
          <w:szCs w:val="32"/>
        </w:rPr>
        <w:t>(一)加大法治宣传教育，增强法治观念。结合工作实际，积极邀请相关人员到我乡宣讲与农业、农村、农民关系紧密的法律法规讲座，大力支持相关干部、执法部门工作人员参加各种依法行政知识培训，通过</w:t>
      </w:r>
      <w:r>
        <w:rPr>
          <w:rFonts w:hint="eastAsia" w:ascii="仿宋" w:hAnsi="仿宋" w:eastAsia="仿宋" w:cs="仿宋"/>
          <w:sz w:val="32"/>
          <w:szCs w:val="32"/>
          <w:highlight w:val="none"/>
        </w:rPr>
        <w:t>“三下乡”等多种途径宣传、普及依法行政知识，营造良好的法治氛围。</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二)健全法制政府制度建设。建立和完善依法、科学、民主的公共决策机制，对涉及人民群众切身利益的重大问题、重大决策措施、重大政府投资项目要进行充分的法律、规划和可行性论证，确保决策的科学性和可持续性。</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三)加强规范性文件备案审查。进一步完善政府规范性文件制发标准、程序和签发制度，加强规范性文件备案审查工作队伍建设和乡制定的规范性文件的审查力度，杜绝文件中出现和法律、法规、上级党委、政府下发文件精神不一致的情况出现。按照“谁发文、谁负责，谁主管、谁负责”的原则，实行发文审批负责制，乡各部门所制发文件必须报乡党政办备案审查，做到“有备必审、有错必纠”，对不备案的要及时进行通报、处理。</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四)切实规范行政执法行为。采取多种措施对乡具有行政执法资格的人员进行规范执法方面的培训，增强规范执法的意识，提高执法水平和能力。按照行政执法人员资格认证管理和行政执法证件管理的有关规定，做好行政执法证件的管理工作。</w:t>
      </w:r>
    </w:p>
    <w:p>
      <w:pPr>
        <w:pStyle w:val="4"/>
        <w:keepNext w:val="0"/>
        <w:keepLines w:val="0"/>
        <w:widowControl/>
        <w:suppressLineNumbers w:val="0"/>
        <w:ind w:left="0" w:firstLine="640" w:firstLineChars="200"/>
        <w:rPr>
          <w:rFonts w:hint="eastAsia" w:ascii="仿宋" w:hAnsi="仿宋" w:eastAsia="仿宋" w:cs="仿宋"/>
          <w:sz w:val="32"/>
          <w:szCs w:val="32"/>
        </w:rPr>
      </w:pPr>
      <w:r>
        <w:rPr>
          <w:rFonts w:hint="eastAsia" w:ascii="仿宋" w:hAnsi="仿宋" w:eastAsia="仿宋" w:cs="仿宋"/>
          <w:sz w:val="32"/>
          <w:szCs w:val="32"/>
        </w:rPr>
        <w:t>(五)进一步加强人民调解工作指导，全力维护社会稳定。发挥人民调解“第一道防线”作用，加强对村人民调解员专业知识培训，提升调解员业务水平，更好完成人民调解工作。</w:t>
      </w:r>
    </w:p>
    <w:p/>
    <w:p/>
    <w:p/>
    <w:p/>
    <w:p/>
    <w:p/>
    <w:p/>
    <w:p/>
    <w:p/>
    <w:p>
      <w:pPr>
        <w:rPr>
          <w:rFonts w:hint="eastAsia" w:ascii="仿宋" w:hAnsi="仿宋" w:eastAsia="仿宋" w:cs="仿宋"/>
          <w:sz w:val="32"/>
          <w:szCs w:val="32"/>
          <w:lang w:val="en-US" w:eastAsia="zh-CN"/>
        </w:rPr>
      </w:pPr>
      <w:r>
        <w:rPr>
          <w:rFonts w:hint="eastAsia"/>
          <w:lang w:val="en-US" w:eastAsia="zh-CN"/>
        </w:rPr>
        <w:t xml:space="preserve">                                                          </w:t>
      </w:r>
      <w:bookmarkStart w:id="0" w:name="_GoBack"/>
      <w:bookmarkEnd w:id="0"/>
      <w:r>
        <w:rPr>
          <w:rFonts w:hint="eastAsia" w:ascii="仿宋" w:hAnsi="仿宋" w:eastAsia="仿宋" w:cs="仿宋"/>
          <w:sz w:val="32"/>
          <w:szCs w:val="32"/>
          <w:lang w:val="en-US" w:eastAsia="zh-CN"/>
        </w:rPr>
        <w:t xml:space="preserve">泊岗乡人民政府 </w:t>
      </w:r>
    </w:p>
    <w:p>
      <w:pPr>
        <w:rPr>
          <w:rFonts w:hint="default" w:eastAsiaTheme="minorEastAsia"/>
          <w:lang w:val="en-US" w:eastAsia="zh-CN"/>
        </w:rPr>
      </w:pPr>
      <w:r>
        <w:rPr>
          <w:rFonts w:hint="eastAsia" w:ascii="仿宋" w:hAnsi="仿宋" w:eastAsia="仿宋" w:cs="仿宋"/>
          <w:sz w:val="32"/>
          <w:szCs w:val="32"/>
          <w:lang w:val="en-US" w:eastAsia="zh-CN"/>
        </w:rPr>
        <w:t xml:space="preserve">                                     2022年1月5日  </w:t>
      </w:r>
    </w:p>
    <w:sectPr>
      <w:footerReference r:id="rId3" w:type="default"/>
      <w:footerReference r:id="rId4" w:type="even"/>
      <w:pgSz w:w="11906" w:h="16838"/>
      <w:pgMar w:top="1701" w:right="1417" w:bottom="141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5031740</wp:posOffset>
              </wp:positionH>
              <wp:positionV relativeFrom="paragraph">
                <wp:posOffset>-120650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6.2pt;margin-top:-9.5pt;height:144pt;width:144pt;mso-position-horizontal-relative:margin;mso-wrap-style:none;z-index:251658240;mso-width-relative:page;mso-height-relative:page;" filled="f" stroked="f" coordsize="21600,21600" o:gfxdata="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DrtujXAAAADAEAAA8AAAAAAAAA&#10;AQAgAAAAIgAAAGRycy9kb3ducmV2LnhtbFBLAQIUABQAAAAIAIdO4kBK283/EgIAABMEAAAOAAAA&#10;AAAAAAEAIAAAACY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172720</wp:posOffset>
              </wp:positionH>
              <wp:positionV relativeFrom="paragraph">
                <wp:posOffset>-138430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3.6pt;margin-top:-10.9pt;height:144pt;width:144pt;mso-position-horizontal-relative:margin;mso-wrap-style:none;z-index:251659264;mso-width-relative:page;mso-height-relative:page;" filled="f" stroked="f" coordsize="21600,21600" o:gfxdata="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eN8HLWAAAACg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D32FB7"/>
    <w:rsid w:val="04C4680C"/>
    <w:rsid w:val="04CD7EA7"/>
    <w:rsid w:val="0515101E"/>
    <w:rsid w:val="054D720F"/>
    <w:rsid w:val="05E65CC9"/>
    <w:rsid w:val="085866FF"/>
    <w:rsid w:val="09B63571"/>
    <w:rsid w:val="0A695FD3"/>
    <w:rsid w:val="0B0F3696"/>
    <w:rsid w:val="0C976EB6"/>
    <w:rsid w:val="0D3F2EC1"/>
    <w:rsid w:val="0EBD31D9"/>
    <w:rsid w:val="0ED41520"/>
    <w:rsid w:val="0FA970F7"/>
    <w:rsid w:val="11BD5071"/>
    <w:rsid w:val="12101035"/>
    <w:rsid w:val="165C0DDD"/>
    <w:rsid w:val="18CC3F54"/>
    <w:rsid w:val="19090F16"/>
    <w:rsid w:val="1B9A4913"/>
    <w:rsid w:val="1CDF16D1"/>
    <w:rsid w:val="1DF6785F"/>
    <w:rsid w:val="21AF5D17"/>
    <w:rsid w:val="22123104"/>
    <w:rsid w:val="24BC0F6E"/>
    <w:rsid w:val="254F7963"/>
    <w:rsid w:val="25671BF8"/>
    <w:rsid w:val="256B6753"/>
    <w:rsid w:val="258C70E9"/>
    <w:rsid w:val="28F850DA"/>
    <w:rsid w:val="2D403CCB"/>
    <w:rsid w:val="2D805708"/>
    <w:rsid w:val="2DF14A15"/>
    <w:rsid w:val="32473B20"/>
    <w:rsid w:val="32742848"/>
    <w:rsid w:val="33004E2B"/>
    <w:rsid w:val="336E23A0"/>
    <w:rsid w:val="35115B0E"/>
    <w:rsid w:val="386E3261"/>
    <w:rsid w:val="38CE0432"/>
    <w:rsid w:val="3B833BB7"/>
    <w:rsid w:val="3FB42920"/>
    <w:rsid w:val="40E156BF"/>
    <w:rsid w:val="41D46823"/>
    <w:rsid w:val="429A7A7F"/>
    <w:rsid w:val="43923D8F"/>
    <w:rsid w:val="45040F5C"/>
    <w:rsid w:val="450537E8"/>
    <w:rsid w:val="46781EA6"/>
    <w:rsid w:val="477007A1"/>
    <w:rsid w:val="48BF05D9"/>
    <w:rsid w:val="4D3B1E63"/>
    <w:rsid w:val="4E1838D4"/>
    <w:rsid w:val="4EE673ED"/>
    <w:rsid w:val="5055067E"/>
    <w:rsid w:val="50CE758B"/>
    <w:rsid w:val="52F627BE"/>
    <w:rsid w:val="543D1F10"/>
    <w:rsid w:val="562C1576"/>
    <w:rsid w:val="56C61AE3"/>
    <w:rsid w:val="578B1EBA"/>
    <w:rsid w:val="58736796"/>
    <w:rsid w:val="589C319C"/>
    <w:rsid w:val="5A983B61"/>
    <w:rsid w:val="5D1069F0"/>
    <w:rsid w:val="60980676"/>
    <w:rsid w:val="641B5472"/>
    <w:rsid w:val="66D32FB7"/>
    <w:rsid w:val="67470633"/>
    <w:rsid w:val="6907160B"/>
    <w:rsid w:val="69EA20AE"/>
    <w:rsid w:val="6B2D3547"/>
    <w:rsid w:val="6B6B1319"/>
    <w:rsid w:val="6CAD1DF7"/>
    <w:rsid w:val="6EE15328"/>
    <w:rsid w:val="76A852CB"/>
    <w:rsid w:val="77B5535F"/>
    <w:rsid w:val="7A62785B"/>
    <w:rsid w:val="7B031A41"/>
    <w:rsid w:val="7B721E95"/>
    <w:rsid w:val="7D1D55D3"/>
    <w:rsid w:val="7DD51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Emphasis"/>
    <w:basedOn w:val="6"/>
    <w:qFormat/>
    <w:uiPriority w:val="0"/>
  </w:style>
  <w:style w:type="character" w:styleId="9">
    <w:name w:val="Hyperlink"/>
    <w:basedOn w:val="6"/>
    <w:qFormat/>
    <w:uiPriority w:val="0"/>
    <w:rPr>
      <w:color w:val="000000"/>
      <w:u w:val="none"/>
    </w:rPr>
  </w:style>
  <w:style w:type="character" w:customStyle="1" w:styleId="10">
    <w:name w:val="hover9"/>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2015-12-14T02:12:00Z</dcterms:created>
  <dc:creator>徐夕刚</dc:creator>
  <cp:lastModifiedBy>·S</cp:lastModifiedBy>
  <cp:lastPrinted>2021-11-04T03:21:00Z</cp:lastPrinted>
  <dcterms:modified xsi:type="dcterms:W3CDTF">2022-01-06T07:21:09Z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