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default"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6"/>
          <w:szCs w:val="36"/>
          <w:shd w:val="clear" w:color="auto" w:fill="FFFFFF"/>
          <w:lang w:eastAsia="zh-CN"/>
        </w:rPr>
        <w:t>明光市</w:t>
      </w:r>
      <w:r>
        <w:rPr>
          <w:rFonts w:hint="eastAsia" w:eastAsia="黑体" w:cs="Times New Roman"/>
          <w:sz w:val="36"/>
          <w:szCs w:val="36"/>
          <w:shd w:val="clear" w:color="auto" w:fill="FFFFFF"/>
          <w:lang w:eastAsia="zh-CN"/>
        </w:rPr>
        <w:t>城区</w:t>
      </w:r>
      <w:r>
        <w:rPr>
          <w:rFonts w:hint="default" w:ascii="Times New Roman" w:hAnsi="Times New Roman" w:eastAsia="黑体" w:cs="Times New Roman"/>
          <w:sz w:val="36"/>
          <w:szCs w:val="36"/>
          <w:shd w:val="clear" w:color="auto" w:fill="FFFFFF"/>
        </w:rPr>
        <w:t>土地</w:t>
      </w:r>
      <w:r>
        <w:rPr>
          <w:rFonts w:hint="default" w:ascii="Times New Roman" w:hAnsi="Times New Roman" w:eastAsia="黑体" w:cs="Times New Roman"/>
          <w:sz w:val="36"/>
          <w:szCs w:val="36"/>
          <w:shd w:val="clear" w:color="auto" w:fill="FFFFFF"/>
          <w:lang w:eastAsia="zh-CN"/>
        </w:rPr>
        <w:t>定级</w:t>
      </w:r>
      <w:r>
        <w:rPr>
          <w:rFonts w:hint="default" w:ascii="Times New Roman" w:hAnsi="Times New Roman" w:eastAsia="黑体" w:cs="Times New Roman"/>
          <w:sz w:val="36"/>
          <w:szCs w:val="36"/>
          <w:shd w:val="clear" w:color="auto" w:fill="FFFFFF"/>
        </w:rPr>
        <w:t>与基准地价更新成果</w:t>
      </w:r>
    </w:p>
    <w:p>
      <w:pPr>
        <w:pStyle w:val="7"/>
        <w:numPr>
          <w:ilvl w:val="0"/>
          <w:numId w:val="1"/>
        </w:numPr>
        <w:spacing w:line="480" w:lineRule="exact"/>
        <w:jc w:val="left"/>
        <w:rPr>
          <w:rFonts w:hint="default" w:ascii="Times New Roman" w:hAnsi="Times New Roman" w:eastAsia="仿宋" w:cs="Times New Roman"/>
          <w:b/>
          <w:bCs/>
          <w:kern w:val="2"/>
          <w:sz w:val="28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28"/>
          <w:szCs w:val="32"/>
          <w:lang w:val="en-US" w:eastAsia="zh-CN" w:bidi="ar-SA"/>
        </w:rPr>
        <w:t>基准地价内涵的设定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1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.</w:t>
      </w:r>
      <w:r>
        <w:rPr>
          <w:rFonts w:hint="default" w:ascii="Times New Roman" w:hAnsi="Times New Roman" w:eastAsia="仿宋" w:cs="Times New Roman"/>
          <w:sz w:val="24"/>
          <w:szCs w:val="24"/>
        </w:rPr>
        <w:t>评估基准日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本次评估基准日确定为20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24"/>
          <w:szCs w:val="24"/>
        </w:rPr>
        <w:t>年01月01日。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2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.</w:t>
      </w:r>
      <w:r>
        <w:rPr>
          <w:rFonts w:hint="default" w:ascii="Times New Roman" w:hAnsi="Times New Roman" w:eastAsia="仿宋" w:cs="Times New Roman"/>
          <w:sz w:val="24"/>
          <w:szCs w:val="24"/>
        </w:rPr>
        <w:t>土地使用年期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土地使用年期按法定最高出让年期设定，即商服用地40年（包括：零售商业用地，商务金融用地，其他商服用地，批发市场用地，餐饮、旅馆用地，娱乐用地），住宅用地70年，工矿仓储用地50年（包括：工业用地，仓储用地），公共管理与公共服务用地50年（包括：机关团体用地、新闻出版用地，文化设施、体育用地，教育、科研用地，医疗卫生、社会福利用地，公用设施用地）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3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.</w:t>
      </w:r>
      <w:r>
        <w:rPr>
          <w:rFonts w:hint="default" w:ascii="Times New Roman" w:hAnsi="Times New Roman" w:eastAsia="仿宋" w:cs="Times New Roman"/>
          <w:sz w:val="24"/>
          <w:szCs w:val="24"/>
        </w:rPr>
        <w:t>土地开发程度</w:t>
      </w:r>
    </w:p>
    <w:p>
      <w:pPr>
        <w:pStyle w:val="7"/>
        <w:spacing w:line="480" w:lineRule="exact"/>
        <w:jc w:val="center"/>
        <w:rPr>
          <w:rFonts w:hint="default" w:ascii="Times New Roman" w:hAnsi="Times New Roman" w:eastAsia="仿宋" w:cs="Times New Roman"/>
          <w:sz w:val="28"/>
        </w:rPr>
      </w:pPr>
      <w:r>
        <w:rPr>
          <w:rFonts w:hint="default" w:ascii="Times New Roman" w:hAnsi="Times New Roman" w:eastAsia="仿宋" w:cs="Times New Roman"/>
          <w:b/>
          <w:kern w:val="2"/>
          <w:sz w:val="24"/>
          <w:szCs w:val="22"/>
          <w:lang w:val="en-US" w:eastAsia="zh-CN" w:bidi="ar-SA"/>
        </w:rPr>
        <w:t>表1  明光市城区各用途、各级别平均开发程度一览表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718"/>
        <w:gridCol w:w="1716"/>
        <w:gridCol w:w="1716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2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土地级别</w:t>
            </w:r>
          </w:p>
        </w:tc>
        <w:tc>
          <w:tcPr>
            <w:tcW w:w="92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商服用地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住宅用地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工矿仓储用地</w:t>
            </w:r>
          </w:p>
        </w:tc>
        <w:tc>
          <w:tcPr>
            <w:tcW w:w="13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公共管理与公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共服务用地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  <w:jc w:val="center"/>
        </w:trPr>
        <w:tc>
          <w:tcPr>
            <w:tcW w:w="925" w:type="pc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一级</w:t>
            </w:r>
          </w:p>
        </w:tc>
        <w:tc>
          <w:tcPr>
            <w:tcW w:w="92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六通一平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六通一平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六通一平</w:t>
            </w:r>
          </w:p>
        </w:tc>
        <w:tc>
          <w:tcPr>
            <w:tcW w:w="13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六通一平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925" w:type="pc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二级</w:t>
            </w:r>
          </w:p>
        </w:tc>
        <w:tc>
          <w:tcPr>
            <w:tcW w:w="92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六通一平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六通一平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六通一平</w:t>
            </w:r>
          </w:p>
        </w:tc>
        <w:tc>
          <w:tcPr>
            <w:tcW w:w="13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六通一平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  <w:jc w:val="center"/>
        </w:trPr>
        <w:tc>
          <w:tcPr>
            <w:tcW w:w="925" w:type="pc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三级</w:t>
            </w:r>
          </w:p>
        </w:tc>
        <w:tc>
          <w:tcPr>
            <w:tcW w:w="92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五通一平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五通一平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五通一平</w:t>
            </w:r>
          </w:p>
        </w:tc>
        <w:tc>
          <w:tcPr>
            <w:tcW w:w="13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五通一平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5" w:type="pc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四级</w:t>
            </w:r>
          </w:p>
        </w:tc>
        <w:tc>
          <w:tcPr>
            <w:tcW w:w="92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五通一平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五通一平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/</w:t>
            </w:r>
          </w:p>
        </w:tc>
        <w:tc>
          <w:tcPr>
            <w:tcW w:w="13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五通一平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5" w:type="pc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五级</w:t>
            </w:r>
          </w:p>
        </w:tc>
        <w:tc>
          <w:tcPr>
            <w:tcW w:w="92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五通一平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五通一平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/</w:t>
            </w:r>
          </w:p>
        </w:tc>
        <w:tc>
          <w:tcPr>
            <w:tcW w:w="130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/</w:t>
            </w:r>
          </w:p>
        </w:tc>
      </w:tr>
    </w:tbl>
    <w:p>
      <w:pPr>
        <w:spacing w:line="300" w:lineRule="exact"/>
        <w:rPr>
          <w:rFonts w:hint="default" w:ascii="Times New Roman" w:hAnsi="Times New Roman" w:eastAsia="仿宋" w:cs="Times New Roman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Cs w:val="21"/>
          <w:lang w:val="en-US" w:eastAsia="zh-CN"/>
        </w:rPr>
        <w:t>红线外“六通”指通上水、通下水、通讯、通电、通路、供气；“五通”指通上水、通下水、通讯、通电、通路。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.平均容积率</w:t>
      </w:r>
    </w:p>
    <w:p>
      <w:pPr>
        <w:pStyle w:val="7"/>
        <w:spacing w:line="480" w:lineRule="exact"/>
        <w:jc w:val="center"/>
        <w:rPr>
          <w:rFonts w:hint="default" w:ascii="Times New Roman" w:hAnsi="Times New Roman" w:eastAsia="仿宋" w:cs="Times New Roman"/>
          <w:b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kern w:val="2"/>
          <w:sz w:val="24"/>
          <w:szCs w:val="22"/>
          <w:lang w:val="en-US" w:eastAsia="zh-CN" w:bidi="ar-SA"/>
        </w:rPr>
        <w:t>表2  明光市城区各类用地级别平均容积率表</w:t>
      </w:r>
    </w:p>
    <w:tbl>
      <w:tblPr>
        <w:tblStyle w:val="10"/>
        <w:tblpPr w:leftFromText="180" w:rightFromText="180" w:vertAnchor="text" w:tblpXSpec="center" w:tblpY="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1459"/>
        <w:gridCol w:w="1336"/>
        <w:gridCol w:w="1296"/>
        <w:gridCol w:w="1268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3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用地类型</w:t>
            </w:r>
          </w:p>
        </w:tc>
        <w:tc>
          <w:tcPr>
            <w:tcW w:w="78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一级地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二级地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三级地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四级地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五级地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3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商服用地</w:t>
            </w:r>
          </w:p>
        </w:tc>
        <w:tc>
          <w:tcPr>
            <w:tcW w:w="78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3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住宅用地</w:t>
            </w:r>
          </w:p>
        </w:tc>
        <w:tc>
          <w:tcPr>
            <w:tcW w:w="78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2.0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3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工矿仓储用地</w:t>
            </w:r>
          </w:p>
        </w:tc>
        <w:tc>
          <w:tcPr>
            <w:tcW w:w="78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1.2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1.2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1.0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3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公共管理与公共服务用地</w:t>
            </w:r>
          </w:p>
        </w:tc>
        <w:tc>
          <w:tcPr>
            <w:tcW w:w="78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1.3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1.1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</w:tr>
    </w:tbl>
    <w:p>
      <w:pPr>
        <w:pStyle w:val="7"/>
        <w:numPr>
          <w:ilvl w:val="0"/>
          <w:numId w:val="0"/>
        </w:numPr>
        <w:spacing w:line="480" w:lineRule="exact"/>
        <w:jc w:val="center"/>
        <w:rPr>
          <w:rFonts w:hint="default" w:ascii="Times New Roman" w:hAnsi="Times New Roman" w:eastAsia="仿宋" w:cs="Times New Roman"/>
          <w:b/>
          <w:kern w:val="2"/>
          <w:sz w:val="24"/>
          <w:szCs w:val="22"/>
          <w:lang w:val="en-US" w:eastAsia="zh-CN" w:bidi="ar-SA"/>
        </w:rPr>
      </w:pPr>
    </w:p>
    <w:p>
      <w:pPr>
        <w:pStyle w:val="7"/>
        <w:spacing w:line="480" w:lineRule="exact"/>
        <w:jc w:val="center"/>
        <w:rPr>
          <w:rFonts w:hint="default" w:ascii="Times New Roman" w:hAnsi="Times New Roman" w:eastAsia="仿宋" w:cs="Times New Roman"/>
          <w:b/>
          <w:kern w:val="2"/>
          <w:sz w:val="24"/>
          <w:szCs w:val="22"/>
          <w:lang w:val="en-US" w:eastAsia="zh-CN" w:bidi="ar-SA"/>
        </w:rPr>
        <w:sectPr>
          <w:footerReference r:id="rId3" w:type="default"/>
          <w:pgSz w:w="11906" w:h="16838"/>
          <w:pgMar w:top="1440" w:right="1417" w:bottom="1440" w:left="141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7"/>
        <w:numPr>
          <w:ilvl w:val="0"/>
          <w:numId w:val="1"/>
        </w:numPr>
        <w:spacing w:line="480" w:lineRule="exact"/>
        <w:jc w:val="left"/>
        <w:rPr>
          <w:rFonts w:hint="default" w:ascii="Times New Roman" w:hAnsi="Times New Roman" w:eastAsia="仿宋" w:cs="Times New Roman"/>
          <w:b/>
          <w:bCs/>
          <w:kern w:val="2"/>
          <w:sz w:val="28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28"/>
          <w:szCs w:val="32"/>
          <w:lang w:val="en-US" w:eastAsia="zh-CN" w:bidi="ar-SA"/>
        </w:rPr>
        <w:t>土地定级成果</w:t>
      </w:r>
    </w:p>
    <w:p>
      <w:pPr>
        <w:pStyle w:val="7"/>
        <w:spacing w:line="480" w:lineRule="exact"/>
        <w:jc w:val="center"/>
        <w:rPr>
          <w:rFonts w:hint="default" w:ascii="Times New Roman" w:hAnsi="Times New Roman" w:eastAsia="仿宋" w:cs="Times New Roman"/>
          <w:b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kern w:val="2"/>
          <w:sz w:val="24"/>
          <w:szCs w:val="22"/>
          <w:lang w:val="en-US" w:eastAsia="zh-CN" w:bidi="ar-SA"/>
        </w:rPr>
        <w:t>表3  综合定级土地级别分布范围及面积统计表</w:t>
      </w:r>
    </w:p>
    <w:tbl>
      <w:tblPr>
        <w:tblStyle w:val="10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6277"/>
        <w:gridCol w:w="964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级别</w:t>
            </w:r>
          </w:p>
        </w:tc>
        <w:tc>
          <w:tcPr>
            <w:tcW w:w="6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范   围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(km</w:t>
            </w:r>
            <w:r>
              <w:rPr>
                <w:rFonts w:hint="default" w:ascii="Times New Roman" w:hAnsi="Times New Roman" w:eastAsia="仿宋" w:cs="Times New Roman"/>
                <w:color w:val="000000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)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比例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Ⅰ</w:t>
            </w:r>
          </w:p>
        </w:tc>
        <w:tc>
          <w:tcPr>
            <w:tcW w:w="6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东至明法路，南至新庄路，西至京沪铁路、交通路，北至嘉山大道。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7.4900 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15.21%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Ⅱ</w:t>
            </w:r>
          </w:p>
        </w:tc>
        <w:tc>
          <w:tcPr>
            <w:tcW w:w="6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东至创业大道，南至河东路，西至京沪铁路、西环路，北至嘉山大道、柳湾路。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8.7494 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17.76%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Ⅲ</w:t>
            </w:r>
          </w:p>
        </w:tc>
        <w:tc>
          <w:tcPr>
            <w:tcW w:w="6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东至宁洛高速，南至定级范围线，西至京沪铁路、西环路，北至宁洛高速。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11.9117 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24.18%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Ⅳ</w:t>
            </w:r>
          </w:p>
        </w:tc>
        <w:tc>
          <w:tcPr>
            <w:tcW w:w="6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东至女山大道，南至定级范围线，西至宁洛高速，北至定级范围线。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13.1591 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26.71%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V</w:t>
            </w:r>
          </w:p>
        </w:tc>
        <w:tc>
          <w:tcPr>
            <w:tcW w:w="6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定级范围内除一级、二级、三级、四级以外的区域。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7.9477 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16.14%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合计</w:t>
            </w:r>
          </w:p>
        </w:tc>
        <w:tc>
          <w:tcPr>
            <w:tcW w:w="6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—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49.2579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100%</w:t>
            </w:r>
          </w:p>
        </w:tc>
      </w:tr>
    </w:tbl>
    <w:p>
      <w:pPr>
        <w:pStyle w:val="7"/>
        <w:spacing w:line="480" w:lineRule="exact"/>
        <w:jc w:val="center"/>
        <w:rPr>
          <w:rFonts w:hint="default" w:ascii="Times New Roman" w:hAnsi="Times New Roman" w:eastAsia="仿宋" w:cs="Times New Roman"/>
          <w:b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kern w:val="2"/>
          <w:sz w:val="24"/>
          <w:szCs w:val="22"/>
          <w:lang w:val="en-US" w:eastAsia="zh-CN" w:bidi="ar-SA"/>
        </w:rPr>
        <w:t>表4  商服用地定级土地级别分布范围及面积统计表</w:t>
      </w:r>
    </w:p>
    <w:tbl>
      <w:tblPr>
        <w:tblStyle w:val="10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6264"/>
        <w:gridCol w:w="977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级别</w:t>
            </w:r>
          </w:p>
        </w:tc>
        <w:tc>
          <w:tcPr>
            <w:tcW w:w="6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范   围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(km</w:t>
            </w:r>
            <w:r>
              <w:rPr>
                <w:rFonts w:hint="default" w:ascii="Times New Roman" w:hAnsi="Times New Roman" w:eastAsia="仿宋" w:cs="Times New Roman"/>
                <w:color w:val="000000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)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比例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Ⅰ</w:t>
            </w:r>
          </w:p>
        </w:tc>
        <w:tc>
          <w:tcPr>
            <w:tcW w:w="6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东至明珠路，南至池河大道、新庄路，西至韩山路，北至龙山路。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2.6793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5.44%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Ⅱ</w:t>
            </w:r>
          </w:p>
        </w:tc>
        <w:tc>
          <w:tcPr>
            <w:tcW w:w="6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东至横山路，南至新庄路，西至定级范围线，北至嘉山大道、柳湾路。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8.7290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17.72%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Ⅲ</w:t>
            </w:r>
          </w:p>
        </w:tc>
        <w:tc>
          <w:tcPr>
            <w:tcW w:w="6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东至宁洛高速，南至城南大道、定级范围线，西至定级范围线，北至灵迹大道。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11.2445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22.83%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Ⅳ</w:t>
            </w:r>
          </w:p>
        </w:tc>
        <w:tc>
          <w:tcPr>
            <w:tcW w:w="6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东至女山大道、塔山路，南至定级范围线，西至定级范围线，北至道涵大道、定级范围线。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18.4591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37.47%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V</w:t>
            </w:r>
          </w:p>
        </w:tc>
        <w:tc>
          <w:tcPr>
            <w:tcW w:w="6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定级范围内除一级、二级、三级、四级以外的区域。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8.1460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16.54%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合计</w:t>
            </w:r>
          </w:p>
        </w:tc>
        <w:tc>
          <w:tcPr>
            <w:tcW w:w="6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—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49.2579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100%</w:t>
            </w:r>
          </w:p>
        </w:tc>
      </w:tr>
    </w:tbl>
    <w:p>
      <w:pPr>
        <w:pStyle w:val="7"/>
        <w:spacing w:line="480" w:lineRule="exact"/>
        <w:jc w:val="center"/>
        <w:rPr>
          <w:rFonts w:hint="default" w:ascii="Times New Roman" w:hAnsi="Times New Roman" w:eastAsia="仿宋" w:cs="Times New Roman"/>
          <w:b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kern w:val="2"/>
          <w:sz w:val="24"/>
          <w:szCs w:val="22"/>
          <w:lang w:val="en-US" w:eastAsia="zh-CN" w:bidi="ar-SA"/>
        </w:rPr>
        <w:t>表5  住宅用地定级土地级别分布范围及面积统计表</w:t>
      </w:r>
    </w:p>
    <w:tbl>
      <w:tblPr>
        <w:tblStyle w:val="10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6290"/>
        <w:gridCol w:w="951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级别</w:t>
            </w:r>
          </w:p>
        </w:tc>
        <w:tc>
          <w:tcPr>
            <w:tcW w:w="6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范   围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(km</w:t>
            </w:r>
            <w:r>
              <w:rPr>
                <w:rFonts w:hint="default" w:ascii="Times New Roman" w:hAnsi="Times New Roman" w:eastAsia="仿宋" w:cs="Times New Roman"/>
                <w:color w:val="000000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)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比例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Ⅰ</w:t>
            </w:r>
          </w:p>
        </w:tc>
        <w:tc>
          <w:tcPr>
            <w:tcW w:w="6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东至祈仓路，南至新庄路，西至交通路、定级范围线，北至嘉山大道。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5.9898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11.34%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Ⅱ</w:t>
            </w:r>
          </w:p>
        </w:tc>
        <w:tc>
          <w:tcPr>
            <w:tcW w:w="6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东至创业大道、抹山大道，南至河东路，西至定级范围线，北至柳湾路。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10.2496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21.63%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Ⅲ</w:t>
            </w:r>
          </w:p>
        </w:tc>
        <w:tc>
          <w:tcPr>
            <w:tcW w:w="6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东至宁洛高速，南至定级范围线，西至定级范围线，北至灵迹大道。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9.0198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18.31%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Ⅳ</w:t>
            </w:r>
          </w:p>
        </w:tc>
        <w:tc>
          <w:tcPr>
            <w:tcW w:w="6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东至清平山路、塔山路，南至定级范围线，西至定级范围线，北至吴继光路、定级范围线。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17.9299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36.40%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V</w:t>
            </w:r>
          </w:p>
        </w:tc>
        <w:tc>
          <w:tcPr>
            <w:tcW w:w="6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定级范围内除一级、二级、三级、四级以外的区域。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6.0688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12.32%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合计</w:t>
            </w:r>
          </w:p>
        </w:tc>
        <w:tc>
          <w:tcPr>
            <w:tcW w:w="6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—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49.2579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100%</w:t>
            </w:r>
          </w:p>
        </w:tc>
      </w:tr>
    </w:tbl>
    <w:p>
      <w:pPr>
        <w:pStyle w:val="7"/>
        <w:spacing w:before="120" w:beforeLines="50" w:line="480" w:lineRule="exact"/>
        <w:jc w:val="center"/>
        <w:rPr>
          <w:rFonts w:hint="default" w:ascii="Times New Roman" w:hAnsi="Times New Roman" w:eastAsia="仿宋" w:cs="Times New Roman"/>
          <w:sz w:val="28"/>
        </w:rPr>
      </w:pPr>
      <w:r>
        <w:rPr>
          <w:rFonts w:hint="default" w:ascii="Times New Roman" w:hAnsi="Times New Roman" w:eastAsia="仿宋" w:cs="Times New Roman"/>
          <w:b/>
          <w:kern w:val="2"/>
          <w:sz w:val="24"/>
          <w:szCs w:val="22"/>
          <w:lang w:val="en-US" w:eastAsia="zh-CN" w:bidi="ar-SA"/>
        </w:rPr>
        <w:t>表6 工矿仓储用地定级土地级别分布范围及面积统计表</w:t>
      </w:r>
    </w:p>
    <w:tbl>
      <w:tblPr>
        <w:tblStyle w:val="10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6290"/>
        <w:gridCol w:w="951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级别</w:t>
            </w:r>
          </w:p>
        </w:tc>
        <w:tc>
          <w:tcPr>
            <w:tcW w:w="6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范   围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(km</w:t>
            </w:r>
            <w:r>
              <w:rPr>
                <w:rFonts w:hint="default" w:ascii="Times New Roman" w:hAnsi="Times New Roman" w:eastAsia="仿宋" w:cs="Times New Roman"/>
                <w:color w:val="000000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)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比例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Ⅰ</w:t>
            </w:r>
          </w:p>
        </w:tc>
        <w:tc>
          <w:tcPr>
            <w:tcW w:w="6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东至抹山大道，南至池河大道、新庄路，西至定级范围线，北至嘉山大道。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8.2033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16.65%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Ⅱ</w:t>
            </w:r>
          </w:p>
        </w:tc>
        <w:tc>
          <w:tcPr>
            <w:tcW w:w="6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东至宁洛高速，南至定级范围线，西至定级范围线，北至宁洛高速。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19.9464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40.50%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Ⅲ</w:t>
            </w:r>
          </w:p>
        </w:tc>
        <w:tc>
          <w:tcPr>
            <w:tcW w:w="6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定级范围内除一级、二级以外的区域。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21.1082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42.85%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合计</w:t>
            </w:r>
          </w:p>
        </w:tc>
        <w:tc>
          <w:tcPr>
            <w:tcW w:w="6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—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49.2579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100%</w:t>
            </w:r>
          </w:p>
        </w:tc>
      </w:tr>
    </w:tbl>
    <w:p>
      <w:pPr>
        <w:pStyle w:val="7"/>
        <w:spacing w:before="120" w:beforeLines="50" w:line="480" w:lineRule="exact"/>
        <w:jc w:val="center"/>
        <w:rPr>
          <w:rFonts w:hint="default" w:ascii="Times New Roman" w:hAnsi="Times New Roman" w:eastAsia="仿宋" w:cs="Times New Roman"/>
          <w:b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kern w:val="2"/>
          <w:sz w:val="24"/>
          <w:szCs w:val="22"/>
          <w:lang w:val="en-US" w:eastAsia="zh-CN" w:bidi="ar-SA"/>
        </w:rPr>
        <w:t>表7 公共管理与公共服务用地定级土地级别分布范围及面积统计表</w:t>
      </w:r>
    </w:p>
    <w:tbl>
      <w:tblPr>
        <w:tblStyle w:val="10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6277"/>
        <w:gridCol w:w="964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级别</w:t>
            </w:r>
          </w:p>
        </w:tc>
        <w:tc>
          <w:tcPr>
            <w:tcW w:w="6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范   围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(km</w:t>
            </w:r>
            <w:r>
              <w:rPr>
                <w:rFonts w:hint="default" w:ascii="Times New Roman" w:hAnsi="Times New Roman" w:eastAsia="仿宋" w:cs="Times New Roman"/>
                <w:color w:val="000000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)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比例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Ⅰ</w:t>
            </w:r>
          </w:p>
        </w:tc>
        <w:tc>
          <w:tcPr>
            <w:tcW w:w="6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东至明法路，南至新庄路，西至定级范围线，北至嘉山大道。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7.4900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15.21%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Ⅱ</w:t>
            </w:r>
          </w:p>
        </w:tc>
        <w:tc>
          <w:tcPr>
            <w:tcW w:w="6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东至创业大道，南至定级范围线，西至新站路，北至柳湾路。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9.3391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18.96%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Ⅲ</w:t>
            </w:r>
          </w:p>
        </w:tc>
        <w:tc>
          <w:tcPr>
            <w:tcW w:w="6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东至女山大道，南至定级范围线，西至定级范围线，北至灵迹大道、道涵大道。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16.4571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33.41%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Ⅳ</w:t>
            </w:r>
          </w:p>
        </w:tc>
        <w:tc>
          <w:tcPr>
            <w:tcW w:w="6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定级范围内除一级、二级、三级以外的区域。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15.9717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32.42%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合计</w:t>
            </w:r>
          </w:p>
        </w:tc>
        <w:tc>
          <w:tcPr>
            <w:tcW w:w="6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—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49.2579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100%</w:t>
            </w:r>
          </w:p>
        </w:tc>
      </w:tr>
    </w:tbl>
    <w:p>
      <w:pPr>
        <w:spacing w:line="300" w:lineRule="exact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" w:cs="Times New Roman"/>
          <w:szCs w:val="21"/>
        </w:rPr>
        <w:t>注：（1）二级地区域需扣除一级地区域，三级地区域需扣除二级地区域，依次类推；</w:t>
      </w:r>
    </w:p>
    <w:p>
      <w:pPr>
        <w:tabs>
          <w:tab w:val="left" w:pos="6199"/>
        </w:tabs>
        <w:spacing w:line="280" w:lineRule="exact"/>
        <w:ind w:firstLine="420" w:firstLineChars="200"/>
        <w:jc w:val="left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default" w:ascii="Times New Roman" w:hAnsi="Times New Roman" w:eastAsia="仿宋" w:cs="Times New Roman"/>
        </w:rPr>
        <w:t>（2）级别范围定级边界落界点不分割自然地块和权属单位，详见土地级别图。</w:t>
      </w:r>
    </w:p>
    <w:p>
      <w:pPr>
        <w:pStyle w:val="2"/>
        <w:rPr>
          <w:rFonts w:hint="default" w:ascii="Times New Roman" w:hAnsi="Times New Roman" w:eastAsia="仿宋" w:cs="Times New Roman"/>
        </w:rPr>
        <w:sectPr>
          <w:pgSz w:w="11906" w:h="16838"/>
          <w:pgMar w:top="1440" w:right="1417" w:bottom="1440" w:left="141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7"/>
        <w:numPr>
          <w:ilvl w:val="0"/>
          <w:numId w:val="1"/>
        </w:numPr>
        <w:spacing w:line="480" w:lineRule="exact"/>
        <w:jc w:val="left"/>
        <w:rPr>
          <w:rFonts w:hint="default" w:ascii="Times New Roman" w:hAnsi="Times New Roman" w:eastAsia="仿宋" w:cs="Times New Roman"/>
          <w:b/>
          <w:bCs/>
          <w:kern w:val="2"/>
          <w:sz w:val="28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28"/>
          <w:szCs w:val="32"/>
          <w:lang w:val="en-US" w:eastAsia="zh-CN" w:bidi="ar-SA"/>
        </w:rPr>
        <w:t>基准地价成果</w:t>
      </w:r>
    </w:p>
    <w:p>
      <w:pPr>
        <w:tabs>
          <w:tab w:val="left" w:pos="7655"/>
        </w:tabs>
        <w:snapToGrid w:val="0"/>
        <w:spacing w:before="156" w:beforeLines="50"/>
        <w:jc w:val="center"/>
        <w:rPr>
          <w:rFonts w:hint="default" w:ascii="Times New Roman" w:hAnsi="Times New Roman" w:eastAsia="仿宋" w:cs="Times New Roman"/>
          <w:b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kern w:val="2"/>
          <w:sz w:val="24"/>
          <w:szCs w:val="22"/>
          <w:lang w:val="en-US" w:eastAsia="zh-CN" w:bidi="ar-SA"/>
        </w:rPr>
        <w:t>表8  明光市城区商服、住宅、工矿仓储、公共管理与公共服务用地基准地价表</w:t>
      </w:r>
    </w:p>
    <w:p>
      <w:pPr>
        <w:jc w:val="right"/>
        <w:rPr>
          <w:rFonts w:hint="default" w:ascii="Times New Roman" w:hAnsi="Times New Roman" w:eastAsia="仿宋" w:cs="Times New Roman"/>
          <w:b/>
          <w:szCs w:val="21"/>
        </w:rPr>
      </w:pPr>
      <w:r>
        <w:rPr>
          <w:rFonts w:hint="default" w:ascii="Times New Roman" w:hAnsi="Times New Roman" w:eastAsia="仿宋" w:cs="Times New Roman"/>
          <w:b/>
          <w:szCs w:val="21"/>
        </w:rPr>
        <w:t>基准日：2021年1月1日</w:t>
      </w:r>
    </w:p>
    <w:tbl>
      <w:tblPr>
        <w:tblStyle w:val="10"/>
        <w:tblW w:w="4992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2402"/>
        <w:gridCol w:w="1051"/>
        <w:gridCol w:w="1034"/>
        <w:gridCol w:w="1037"/>
        <w:gridCol w:w="1087"/>
        <w:gridCol w:w="1037"/>
        <w:gridCol w:w="1101"/>
        <w:gridCol w:w="995"/>
        <w:gridCol w:w="1009"/>
        <w:gridCol w:w="956"/>
        <w:gridCol w:w="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33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用地类型</w:t>
            </w:r>
          </w:p>
        </w:tc>
        <w:tc>
          <w:tcPr>
            <w:tcW w:w="7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一级</w:t>
            </w:r>
          </w:p>
        </w:tc>
        <w:tc>
          <w:tcPr>
            <w:tcW w:w="7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二级</w:t>
            </w:r>
          </w:p>
        </w:tc>
        <w:tc>
          <w:tcPr>
            <w:tcW w:w="7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三级</w:t>
            </w:r>
          </w:p>
        </w:tc>
        <w:tc>
          <w:tcPr>
            <w:tcW w:w="7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四级</w:t>
            </w:r>
          </w:p>
        </w:tc>
        <w:tc>
          <w:tcPr>
            <w:tcW w:w="6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332" w:type="pct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元/㎡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万元/亩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元/㎡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万元/亩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元/㎡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万元/亩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元/㎡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万元/亩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元/㎡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bidi="ar"/>
              </w:rPr>
              <w:t>万元/亩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商服用地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零售商业用地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3080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205.33 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1740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116.00 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1200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80.00 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690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46.00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520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34.67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1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商务金融、其他商服用地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2770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184.67 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1570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104.67 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1080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72.00 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620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41.33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480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32.00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1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批发市场、餐饮、旅馆、娱乐用地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2160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144.00 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1220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81.33 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840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56.00 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480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32.00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24.00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3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住宅用地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1660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110.67 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1400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93.33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1020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68.00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620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41.33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450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30.00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工矿仓储用地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工业用地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11.00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9.00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仓储用地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11.67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9.33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公共管理与公共服务用地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机关团体、新闻出版用地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450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30.00 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22.67 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18.00 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14.00 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文化设施、体育用地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26.67 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20.33 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16.00 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12.33 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科研、教育用地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355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23.67 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18.00 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14.00 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11.00 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医疗卫生、社会福利用地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20.67 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16.33 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12.33 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9.67 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公用设施用地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15.33 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12.67 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10.33 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8.00 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</w:tr>
    </w:tbl>
    <w:p>
      <w:pPr>
        <w:pStyle w:val="2"/>
        <w:spacing w:line="240" w:lineRule="auto"/>
        <w:ind w:left="0" w:firstLine="0" w:firstLineChars="0"/>
        <w:jc w:val="both"/>
        <w:rPr>
          <w:rFonts w:hint="default" w:ascii="Times New Roman" w:hAnsi="Times New Roman" w:eastAsia="仿宋" w:cs="Times New Roman"/>
          <w:color w:val="000000"/>
          <w:kern w:val="0"/>
          <w:sz w:val="21"/>
          <w:szCs w:val="21"/>
          <w:lang w:val="en-US" w:eastAsia="zh-CN" w:bidi="ar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417" w:right="1440" w:bottom="1417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0A9B83"/>
    <w:multiLevelType w:val="singleLevel"/>
    <w:tmpl w:val="D80A9B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ZDc2NzMyOWU5YTRkYWJjMGY1ODVmMmY4ZmUwMGIifQ=="/>
  </w:docVars>
  <w:rsids>
    <w:rsidRoot w:val="7E7E0E4D"/>
    <w:rsid w:val="00210624"/>
    <w:rsid w:val="002F3D43"/>
    <w:rsid w:val="004A1B47"/>
    <w:rsid w:val="004D7AB5"/>
    <w:rsid w:val="00751D4B"/>
    <w:rsid w:val="00A50D93"/>
    <w:rsid w:val="00DD1647"/>
    <w:rsid w:val="00EB017B"/>
    <w:rsid w:val="02C71822"/>
    <w:rsid w:val="038F6348"/>
    <w:rsid w:val="059D636B"/>
    <w:rsid w:val="07E33CB7"/>
    <w:rsid w:val="0B3834D4"/>
    <w:rsid w:val="0EE5682D"/>
    <w:rsid w:val="104E3B36"/>
    <w:rsid w:val="112749D9"/>
    <w:rsid w:val="123F0A1B"/>
    <w:rsid w:val="131325DB"/>
    <w:rsid w:val="14F10987"/>
    <w:rsid w:val="157E4A57"/>
    <w:rsid w:val="16344614"/>
    <w:rsid w:val="1831324D"/>
    <w:rsid w:val="190527BE"/>
    <w:rsid w:val="1A453A7D"/>
    <w:rsid w:val="1A937953"/>
    <w:rsid w:val="21A71DED"/>
    <w:rsid w:val="220C1D3A"/>
    <w:rsid w:val="25161060"/>
    <w:rsid w:val="274428BC"/>
    <w:rsid w:val="2900367E"/>
    <w:rsid w:val="29CC1725"/>
    <w:rsid w:val="2BD535FD"/>
    <w:rsid w:val="2D6272C6"/>
    <w:rsid w:val="2D9A447D"/>
    <w:rsid w:val="318626BA"/>
    <w:rsid w:val="322C4854"/>
    <w:rsid w:val="330639ED"/>
    <w:rsid w:val="33C34C19"/>
    <w:rsid w:val="34795387"/>
    <w:rsid w:val="350B5706"/>
    <w:rsid w:val="359843AA"/>
    <w:rsid w:val="36E05919"/>
    <w:rsid w:val="3A5C4163"/>
    <w:rsid w:val="3C8D0ED7"/>
    <w:rsid w:val="3CCF022B"/>
    <w:rsid w:val="3F076E9A"/>
    <w:rsid w:val="40C201CB"/>
    <w:rsid w:val="40D32FDC"/>
    <w:rsid w:val="40DC1E29"/>
    <w:rsid w:val="419542A6"/>
    <w:rsid w:val="41E442EF"/>
    <w:rsid w:val="4202479A"/>
    <w:rsid w:val="42E90453"/>
    <w:rsid w:val="436F25CD"/>
    <w:rsid w:val="44AB5EB8"/>
    <w:rsid w:val="44F453F2"/>
    <w:rsid w:val="44FF79C5"/>
    <w:rsid w:val="458F1405"/>
    <w:rsid w:val="4BD679CD"/>
    <w:rsid w:val="4BFF384F"/>
    <w:rsid w:val="4DF4612D"/>
    <w:rsid w:val="50A77195"/>
    <w:rsid w:val="51493E73"/>
    <w:rsid w:val="52C312F5"/>
    <w:rsid w:val="5502715F"/>
    <w:rsid w:val="56CB7B9D"/>
    <w:rsid w:val="582B7C30"/>
    <w:rsid w:val="58705BCA"/>
    <w:rsid w:val="5B67666A"/>
    <w:rsid w:val="5C01473E"/>
    <w:rsid w:val="60226D13"/>
    <w:rsid w:val="63144D41"/>
    <w:rsid w:val="63363F3C"/>
    <w:rsid w:val="651F715C"/>
    <w:rsid w:val="658D60F6"/>
    <w:rsid w:val="65AF4F2F"/>
    <w:rsid w:val="69615F8A"/>
    <w:rsid w:val="6E906B35"/>
    <w:rsid w:val="6F6B4D0E"/>
    <w:rsid w:val="6FAB6932"/>
    <w:rsid w:val="71506AE6"/>
    <w:rsid w:val="715E5159"/>
    <w:rsid w:val="73097C06"/>
    <w:rsid w:val="775147BE"/>
    <w:rsid w:val="78371128"/>
    <w:rsid w:val="7A610515"/>
    <w:rsid w:val="7AB64BD8"/>
    <w:rsid w:val="7B5B0DCE"/>
    <w:rsid w:val="7BED2919"/>
    <w:rsid w:val="7C9556B4"/>
    <w:rsid w:val="7CC22828"/>
    <w:rsid w:val="7D3C38E8"/>
    <w:rsid w:val="7DF06D66"/>
    <w:rsid w:val="7E7E0E4D"/>
    <w:rsid w:val="7EFE121C"/>
    <w:rsid w:val="7F177E2B"/>
    <w:rsid w:val="7F49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2"/>
    <w:basedOn w:val="1"/>
    <w:next w:val="1"/>
    <w:qFormat/>
    <w:uiPriority w:val="0"/>
    <w:pPr>
      <w:keepLines/>
      <w:spacing w:before="360" w:after="300"/>
      <w:outlineLvl w:val="1"/>
    </w:pPr>
    <w:rPr>
      <w:rFonts w:eastAsia="仿宋_GB2312"/>
      <w:b/>
      <w:bCs/>
      <w:sz w:val="30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20"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line="480" w:lineRule="exact"/>
      <w:ind w:firstLine="57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Plain Text"/>
    <w:basedOn w:val="1"/>
    <w:link w:val="15"/>
    <w:unhideWhenUsed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22222"/>
    <w:basedOn w:val="1"/>
    <w:qFormat/>
    <w:uiPriority w:val="0"/>
    <w:pPr>
      <w:spacing w:line="520" w:lineRule="exact"/>
      <w:jc w:val="center"/>
    </w:pPr>
    <w:rPr>
      <w:rFonts w:eastAsia="黑体"/>
      <w:sz w:val="24"/>
      <w:szCs w:val="28"/>
    </w:rPr>
  </w:style>
  <w:style w:type="paragraph" w:customStyle="1" w:styleId="14">
    <w:name w:val="表格"/>
    <w:basedOn w:val="1"/>
    <w:qFormat/>
    <w:uiPriority w:val="0"/>
    <w:pPr>
      <w:spacing w:line="400" w:lineRule="exact"/>
      <w:jc w:val="center"/>
    </w:pPr>
    <w:rPr>
      <w:sz w:val="24"/>
      <w:szCs w:val="36"/>
    </w:rPr>
  </w:style>
  <w:style w:type="character" w:customStyle="1" w:styleId="15">
    <w:name w:val="纯文本 字符"/>
    <w:basedOn w:val="12"/>
    <w:link w:val="7"/>
    <w:qFormat/>
    <w:locked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1883</Words>
  <Characters>2526</Characters>
  <Lines>58</Lines>
  <Paragraphs>16</Paragraphs>
  <TotalTime>2</TotalTime>
  <ScaleCrop>false</ScaleCrop>
  <LinksUpToDate>false</LinksUpToDate>
  <CharactersWithSpaces>2598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2021-05-26T06:11:00Z</dcterms:created>
  <dc:creator>小脚丫</dc:creator>
  <cp:lastModifiedBy>小脚丫</cp:lastModifiedBy>
  <cp:lastPrinted>2021-10-29T05:43:00Z</cp:lastPrinted>
  <dcterms:modified xsi:type="dcterms:W3CDTF">2022-05-30T10:13:11Z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F7AFDC7913854DE4B2233313B3E8E1F2</vt:lpwstr>
  </property>
</Properties>
</file>