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关于征求明光市城市规划区内违法建设</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治理工作联席会议制度起草说明</w:t>
      </w:r>
    </w:p>
    <w:p>
      <w:pPr>
        <w:rPr>
          <w:rFonts w:hint="eastAsia"/>
        </w:rPr>
      </w:pP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明光市城市规划区内违法建设治理工作联席会议制度充分发挥专业力量和协作精神:建立联席会议机制可以联合各部门、各专业领域的人才及其专业知识,充分发挥各部门之间的协作精神,互通有无,共同建言献策,为项目实施做出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00000000"/>
    <w:rsid w:val="06601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2023-05-23T07:25:31Z</dcterms:created>
  <dc:creator>lx</dc:creator>
  <cp:lastModifiedBy>陈晓婷</cp:lastModifiedBy>
  <dcterms:modified xsi:type="dcterms:W3CDTF">2023-05-23T07:26:37Z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C805118550E14C518808A24A65A7B7E4_12</vt:lpwstr>
  </property>
</Properties>
</file>