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明光市桥头镇人民政府2023年政府信息公开工作年度报告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kern w:val="2"/>
          <w:sz w:val="32"/>
          <w:szCs w:val="32"/>
          <w:vertAlign w:val="baseli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cs="Times New Roman" w:eastAsiaTheme="minorEastAsia"/>
          <w:kern w:val="2"/>
          <w:sz w:val="32"/>
          <w:szCs w:val="32"/>
          <w:vertAlign w:val="baseline"/>
          <w:lang w:val="en-US" w:eastAsia="zh-CN" w:bidi="ar-SA"/>
        </w:rPr>
      </w:pPr>
      <w:r>
        <w:rPr>
          <w:rFonts w:hint="default" w:ascii="Times New Roman" w:hAnsi="Times New Roman" w:eastAsia="仿宋_GB2312" w:cs="Times New Roman"/>
          <w:kern w:val="2"/>
          <w:sz w:val="32"/>
          <w:szCs w:val="32"/>
          <w:vertAlign w:val="baseline"/>
          <w:lang w:val="en-US" w:eastAsia="zh-CN" w:bidi="ar-SA"/>
        </w:rPr>
        <w:t>本报告由明光市桥头镇根据《中华人民共和国政府信息公开条例》（国令第711</w:t>
      </w:r>
      <w:r>
        <w:rPr>
          <w:rFonts w:hint="default" w:ascii="Times New Roman" w:hAnsi="Times New Roman" w:eastAsia="仿宋_GB2312" w:cs="Times New Roman"/>
          <w:kern w:val="2"/>
          <w:sz w:val="32"/>
          <w:szCs w:val="32"/>
          <w:vertAlign w:val="baseline"/>
          <w:lang w:val="en-US" w:eastAsia="zh-CN" w:bidi="ar-SA"/>
        </w:rPr>
        <w:t>号）（以下简称《条例》）规定编制</w:t>
      </w:r>
      <w:r>
        <w:rPr>
          <w:rFonts w:hint="default" w:ascii="Times New Roman" w:hAnsi="Times New Roman" w:eastAsia="仿宋_GB2312" w:cs="Times New Roman"/>
          <w:kern w:val="2"/>
          <w:sz w:val="32"/>
          <w:szCs w:val="32"/>
          <w:vertAlign w:val="baseline"/>
          <w:lang w:val="en-US" w:eastAsia="zh-CN" w:bidi="ar-SA"/>
        </w:rPr>
        <w:t>。全文包括总体情况、主动公开政府信息情况、收到和处理政府信息公开申请情况、政府信息公开行政复议、行政诉讼情况、存在的主要问题及改进情况和其他需要报告的事项。本报告中所列数据的统计期限自202</w:t>
      </w:r>
      <w:r>
        <w:rPr>
          <w:rFonts w:hint="default" w:ascii="Times New Roman" w:hAnsi="Times New Roman" w:eastAsia="仿宋_GB2312" w:cs="Times New Roman"/>
          <w:kern w:val="2"/>
          <w:sz w:val="32"/>
          <w:szCs w:val="32"/>
          <w:vertAlign w:val="baseline"/>
          <w:lang w:val="en-US" w:eastAsia="zh-CN" w:bidi="ar-SA"/>
        </w:rPr>
        <w:t>3</w:t>
      </w:r>
      <w:r>
        <w:rPr>
          <w:rFonts w:hint="default" w:ascii="Times New Roman" w:hAnsi="Times New Roman" w:eastAsia="仿宋_GB2312" w:cs="Times New Roman"/>
          <w:kern w:val="2"/>
          <w:sz w:val="32"/>
          <w:szCs w:val="32"/>
          <w:vertAlign w:val="baseline"/>
          <w:lang w:val="en-US" w:eastAsia="zh-CN" w:bidi="ar-SA"/>
        </w:rPr>
        <w:t>年1月1日起至202</w:t>
      </w:r>
      <w:r>
        <w:rPr>
          <w:rFonts w:hint="default" w:ascii="Times New Roman" w:hAnsi="Times New Roman" w:eastAsia="仿宋_GB2312" w:cs="Times New Roman"/>
          <w:kern w:val="2"/>
          <w:sz w:val="32"/>
          <w:szCs w:val="32"/>
          <w:vertAlign w:val="baseline"/>
          <w:lang w:val="en-US" w:eastAsia="zh-CN" w:bidi="ar-SA"/>
        </w:rPr>
        <w:t>3</w:t>
      </w:r>
      <w:r>
        <w:rPr>
          <w:rFonts w:hint="default" w:ascii="Times New Roman" w:hAnsi="Times New Roman" w:eastAsia="仿宋_GB2312" w:cs="Times New Roman"/>
          <w:kern w:val="2"/>
          <w:sz w:val="32"/>
          <w:szCs w:val="32"/>
          <w:vertAlign w:val="baseline"/>
          <w:lang w:val="en-US" w:eastAsia="zh-CN" w:bidi="ar-SA"/>
        </w:rPr>
        <w:t>年12月31日止。如对本报告有疑问，请与明光市桥头镇办公室联系（地址：明光市桥头镇人民政府，邮编：239400，电话：0550-8801100，电子邮箱：</w:t>
      </w:r>
      <w:r>
        <w:rPr>
          <w:rFonts w:hint="default" w:ascii="Times New Roman" w:hAnsi="Times New Roman" w:eastAsia="仿宋_GB2312" w:cs="Times New Roman"/>
          <w:kern w:val="2"/>
          <w:sz w:val="32"/>
          <w:szCs w:val="32"/>
          <w:vertAlign w:val="baseline"/>
          <w:lang w:val="en-US" w:eastAsia="zh-CN" w:bidi="ar-SA"/>
        </w:rPr>
        <w:t>mgqtzrmzf@163</w:t>
      </w:r>
      <w:r>
        <w:rPr>
          <w:rFonts w:hint="default" w:ascii="Times New Roman" w:hAnsi="Times New Roman" w:eastAsia="仿宋_GB2312" w:cs="Times New Roman"/>
          <w:kern w:val="2"/>
          <w:sz w:val="32"/>
          <w:szCs w:val="32"/>
          <w:vertAlign w:val="baseline"/>
          <w:lang w:val="en-US" w:eastAsia="zh-CN" w:bidi="ar-SA"/>
        </w:rPr>
        <w:t>.com）。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lang w:eastAsia="zh-CN"/>
        </w:rPr>
      </w:pPr>
      <w:bookmarkStart w:id="0" w:name="_GoBack"/>
      <w:r>
        <w:rPr>
          <w:rFonts w:hint="default"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lang w:eastAsia="zh-CN"/>
        </w:rPr>
        <w:t>总体情况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2"/>
          <w:sz w:val="32"/>
          <w:szCs w:val="32"/>
          <w:vertAlign w:val="baseline"/>
          <w:lang w:val="en-US" w:eastAsia="zh-CN" w:bidi="ar-SA"/>
        </w:rPr>
      </w:pPr>
      <w:r>
        <w:rPr>
          <w:rFonts w:hint="default" w:ascii="Times New Roman" w:hAnsi="Times New Roman" w:eastAsia="仿宋_GB2312" w:cs="Times New Roman"/>
          <w:kern w:val="2"/>
          <w:sz w:val="32"/>
          <w:szCs w:val="32"/>
          <w:vertAlign w:val="baseline"/>
          <w:lang w:val="en-US" w:eastAsia="zh-CN" w:bidi="ar-SA"/>
        </w:rPr>
        <w:t>202</w:t>
      </w:r>
      <w:r>
        <w:rPr>
          <w:rFonts w:hint="default" w:ascii="Times New Roman" w:hAnsi="Times New Roman" w:eastAsia="仿宋_GB2312" w:cs="Times New Roman"/>
          <w:kern w:val="2"/>
          <w:sz w:val="32"/>
          <w:szCs w:val="32"/>
          <w:vertAlign w:val="baseline"/>
          <w:lang w:val="en-US" w:eastAsia="zh-CN" w:bidi="ar-SA"/>
        </w:rPr>
        <w:t>3</w:t>
      </w:r>
      <w:r>
        <w:rPr>
          <w:rFonts w:hint="default" w:ascii="Times New Roman" w:hAnsi="Times New Roman" w:eastAsia="仿宋_GB2312" w:cs="Times New Roman"/>
          <w:kern w:val="2"/>
          <w:sz w:val="32"/>
          <w:szCs w:val="32"/>
          <w:vertAlign w:val="baseline"/>
          <w:lang w:val="en-US" w:eastAsia="zh-CN" w:bidi="ar-SA"/>
        </w:rPr>
        <w:t>年，</w:t>
      </w:r>
      <w:r>
        <w:rPr>
          <w:rFonts w:hint="default" w:ascii="Times New Roman" w:hAnsi="Times New Roman" w:eastAsia="仿宋_GB2312" w:cs="Times New Roman"/>
          <w:kern w:val="2"/>
          <w:sz w:val="32"/>
          <w:szCs w:val="32"/>
          <w:vertAlign w:val="baseline"/>
          <w:lang w:val="en-US" w:eastAsia="zh-CN" w:bidi="ar-SA"/>
        </w:rPr>
        <w:t>桥头镇</w:t>
      </w:r>
      <w:r>
        <w:rPr>
          <w:rFonts w:hint="default" w:ascii="Times New Roman" w:hAnsi="Times New Roman" w:eastAsia="仿宋_GB2312" w:cs="Times New Roman"/>
          <w:kern w:val="2"/>
          <w:sz w:val="32"/>
          <w:szCs w:val="32"/>
          <w:vertAlign w:val="baseline"/>
          <w:lang w:val="en-US" w:eastAsia="zh-CN" w:bidi="ar-SA"/>
        </w:rPr>
        <w:t>认真贯彻落实市委、市政府关于全面推进政务公开标准化、规范化工作的决策部署。围绕</w:t>
      </w:r>
      <w:r>
        <w:rPr>
          <w:rFonts w:hint="eastAsia" w:ascii="Times New Roman" w:hAnsi="Times New Roman" w:eastAsia="仿宋_GB2312" w:cs="Times New Roman"/>
          <w:kern w:val="2"/>
          <w:sz w:val="32"/>
          <w:szCs w:val="32"/>
          <w:vertAlign w:val="baseline"/>
          <w:lang w:val="en-US" w:eastAsia="zh-CN" w:bidi="ar-SA"/>
        </w:rPr>
        <w:t>镇政府</w:t>
      </w:r>
      <w:r>
        <w:rPr>
          <w:rFonts w:hint="default" w:ascii="Times New Roman" w:hAnsi="Times New Roman" w:eastAsia="仿宋_GB2312" w:cs="Times New Roman"/>
          <w:kern w:val="2"/>
          <w:sz w:val="32"/>
          <w:szCs w:val="32"/>
          <w:vertAlign w:val="baseline"/>
          <w:lang w:val="en-US" w:eastAsia="zh-CN" w:bidi="ar-SA"/>
        </w:rPr>
        <w:t>中心工作，不断完善政府信息公开制度和平台建设，做好监督保障工作，及时回应公众关切，切实保障人民群众知情权、参与权和监督权。</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kern w:val="2"/>
          <w:sz w:val="32"/>
          <w:szCs w:val="32"/>
          <w:highlight w:val="none"/>
          <w:vertAlign w:val="baseline"/>
          <w:lang w:val="en-US" w:eastAsia="zh-CN" w:bidi="ar-SA"/>
        </w:rPr>
      </w:pPr>
      <w:r>
        <w:rPr>
          <w:rFonts w:hint="default" w:ascii="Times New Roman" w:hAnsi="Times New Roman" w:eastAsia="仿宋_GB2312" w:cs="Times New Roman"/>
          <w:b/>
          <w:bCs/>
          <w:sz w:val="32"/>
          <w:szCs w:val="32"/>
          <w:highlight w:val="none"/>
          <w:vertAlign w:val="baseline"/>
          <w:lang w:val="en-US" w:eastAsia="zh-CN"/>
        </w:rPr>
        <w:t>主动公开政府信息情况。</w:t>
      </w:r>
      <w:r>
        <w:rPr>
          <w:rFonts w:hint="default" w:ascii="Times New Roman" w:hAnsi="Times New Roman" w:eastAsia="仿宋_GB2312" w:cs="Times New Roman"/>
          <w:kern w:val="2"/>
          <w:sz w:val="32"/>
          <w:szCs w:val="32"/>
          <w:highlight w:val="none"/>
          <w:vertAlign w:val="baseline"/>
          <w:lang w:val="en-US" w:eastAsia="zh-CN" w:bidi="ar-SA"/>
        </w:rPr>
        <w:t>202</w:t>
      </w:r>
      <w:r>
        <w:rPr>
          <w:rFonts w:hint="default" w:ascii="Times New Roman" w:hAnsi="Times New Roman" w:eastAsia="仿宋_GB2312" w:cs="Times New Roman"/>
          <w:kern w:val="2"/>
          <w:sz w:val="32"/>
          <w:szCs w:val="32"/>
          <w:highlight w:val="none"/>
          <w:vertAlign w:val="baseline"/>
          <w:lang w:val="en-US" w:eastAsia="zh-CN" w:bidi="ar-SA"/>
        </w:rPr>
        <w:t>3</w:t>
      </w:r>
      <w:r>
        <w:rPr>
          <w:rFonts w:hint="default" w:ascii="Times New Roman" w:hAnsi="Times New Roman" w:eastAsia="仿宋_GB2312" w:cs="Times New Roman"/>
          <w:kern w:val="2"/>
          <w:sz w:val="32"/>
          <w:szCs w:val="32"/>
          <w:highlight w:val="none"/>
          <w:vertAlign w:val="baseline"/>
          <w:lang w:val="en-US" w:eastAsia="zh-CN" w:bidi="ar-SA"/>
        </w:rPr>
        <w:t>年，通过政府网站主动公开信息</w:t>
      </w:r>
      <w:r>
        <w:rPr>
          <w:rFonts w:hint="default" w:ascii="Times New Roman" w:hAnsi="Times New Roman" w:eastAsia="仿宋_GB2312" w:cs="Times New Roman"/>
          <w:kern w:val="2"/>
          <w:sz w:val="32"/>
          <w:szCs w:val="32"/>
          <w:highlight w:val="none"/>
          <w:vertAlign w:val="baseline"/>
          <w:lang w:val="en-US" w:eastAsia="zh-CN" w:bidi="ar-SA"/>
        </w:rPr>
        <w:t>575</w:t>
      </w:r>
      <w:r>
        <w:rPr>
          <w:rFonts w:hint="default" w:ascii="Times New Roman" w:hAnsi="Times New Roman" w:eastAsia="仿宋_GB2312" w:cs="Times New Roman"/>
          <w:kern w:val="2"/>
          <w:sz w:val="32"/>
          <w:szCs w:val="32"/>
          <w:highlight w:val="none"/>
          <w:vertAlign w:val="baseline"/>
          <w:lang w:val="en-US" w:eastAsia="zh-CN" w:bidi="ar-SA"/>
        </w:rPr>
        <w:t>条，其中</w:t>
      </w:r>
      <w:r>
        <w:rPr>
          <w:rFonts w:hint="default" w:ascii="Times New Roman" w:hAnsi="Times New Roman" w:eastAsia="仿宋_GB2312" w:cs="Times New Roman"/>
          <w:kern w:val="2"/>
          <w:sz w:val="32"/>
          <w:szCs w:val="32"/>
          <w:highlight w:val="none"/>
          <w:vertAlign w:val="baseline"/>
          <w:lang w:val="en-US" w:eastAsia="zh-CN" w:bidi="ar-SA"/>
        </w:rPr>
        <w:t>国民经济和社会发展统计信息2</w:t>
      </w:r>
      <w:r>
        <w:rPr>
          <w:rFonts w:hint="default" w:ascii="Times New Roman" w:hAnsi="Times New Roman" w:eastAsia="仿宋_GB2312" w:cs="Times New Roman"/>
          <w:kern w:val="2"/>
          <w:sz w:val="32"/>
          <w:szCs w:val="32"/>
          <w:highlight w:val="none"/>
          <w:vertAlign w:val="baseline"/>
          <w:lang w:val="en-US" w:eastAsia="zh-CN" w:bidi="ar-SA"/>
        </w:rPr>
        <w:t>6条，</w:t>
      </w:r>
      <w:r>
        <w:rPr>
          <w:rFonts w:hint="default" w:ascii="Times New Roman" w:hAnsi="Times New Roman" w:eastAsia="仿宋_GB2312" w:cs="Times New Roman"/>
          <w:kern w:val="2"/>
          <w:sz w:val="32"/>
          <w:szCs w:val="32"/>
          <w:highlight w:val="none"/>
          <w:vertAlign w:val="baseline"/>
          <w:lang w:val="en-US" w:eastAsia="zh-CN" w:bidi="ar-SA"/>
        </w:rPr>
        <w:t>财政专项资金管理和使用情况126条，年度重点工作任务分解、执行及落实情况13</w:t>
      </w:r>
      <w:r>
        <w:rPr>
          <w:rFonts w:hint="default" w:ascii="Times New Roman" w:hAnsi="Times New Roman" w:eastAsia="仿宋_GB2312" w:cs="Times New Roman"/>
          <w:kern w:val="2"/>
          <w:sz w:val="32"/>
          <w:szCs w:val="32"/>
          <w:highlight w:val="none"/>
          <w:vertAlign w:val="baseline"/>
          <w:lang w:val="en-US" w:eastAsia="zh-CN" w:bidi="ar-SA"/>
        </w:rPr>
        <w:t>条，</w:t>
      </w:r>
      <w:r>
        <w:rPr>
          <w:rFonts w:hint="default" w:ascii="Times New Roman" w:hAnsi="Times New Roman" w:eastAsia="仿宋_GB2312" w:cs="Times New Roman"/>
          <w:kern w:val="2"/>
          <w:sz w:val="32"/>
          <w:szCs w:val="32"/>
          <w:highlight w:val="none"/>
          <w:vertAlign w:val="baseline"/>
          <w:lang w:val="en-US" w:eastAsia="zh-CN" w:bidi="ar-SA"/>
        </w:rPr>
        <w:t>社会救助33条，</w:t>
      </w:r>
      <w:r>
        <w:rPr>
          <w:rFonts w:hint="default" w:ascii="Times New Roman" w:hAnsi="Times New Roman" w:eastAsia="仿宋_GB2312" w:cs="Times New Roman"/>
          <w:kern w:val="2"/>
          <w:sz w:val="32"/>
          <w:szCs w:val="32"/>
          <w:highlight w:val="none"/>
          <w:vertAlign w:val="baseline"/>
          <w:lang w:val="en-US" w:eastAsia="zh-CN" w:bidi="ar-SA"/>
        </w:rPr>
        <w:t>回应关切</w:t>
      </w:r>
      <w:r>
        <w:rPr>
          <w:rFonts w:hint="default" w:ascii="Times New Roman" w:hAnsi="Times New Roman" w:eastAsia="仿宋_GB2312" w:cs="Times New Roman"/>
          <w:kern w:val="2"/>
          <w:sz w:val="32"/>
          <w:szCs w:val="32"/>
          <w:highlight w:val="none"/>
          <w:vertAlign w:val="baseline"/>
          <w:lang w:val="en-US" w:eastAsia="zh-CN" w:bidi="ar-SA"/>
        </w:rPr>
        <w:t>36</w:t>
      </w:r>
      <w:r>
        <w:rPr>
          <w:rFonts w:hint="default" w:ascii="Times New Roman" w:hAnsi="Times New Roman" w:eastAsia="仿宋_GB2312" w:cs="Times New Roman"/>
          <w:kern w:val="2"/>
          <w:sz w:val="32"/>
          <w:szCs w:val="32"/>
          <w:highlight w:val="none"/>
          <w:vertAlign w:val="baseline"/>
          <w:lang w:val="en-US" w:eastAsia="zh-CN" w:bidi="ar-SA"/>
        </w:rPr>
        <w:t>条，其他信息</w:t>
      </w:r>
      <w:r>
        <w:rPr>
          <w:rFonts w:hint="default" w:ascii="Times New Roman" w:hAnsi="Times New Roman" w:eastAsia="仿宋_GB2312" w:cs="Times New Roman"/>
          <w:kern w:val="2"/>
          <w:sz w:val="32"/>
          <w:szCs w:val="32"/>
          <w:highlight w:val="none"/>
          <w:vertAlign w:val="baseline"/>
          <w:lang w:val="en-US" w:eastAsia="zh-CN" w:bidi="ar-SA"/>
        </w:rPr>
        <w:t>341</w:t>
      </w:r>
      <w:r>
        <w:rPr>
          <w:rFonts w:hint="default" w:ascii="Times New Roman" w:hAnsi="Times New Roman" w:eastAsia="仿宋_GB2312" w:cs="Times New Roman"/>
          <w:kern w:val="2"/>
          <w:sz w:val="32"/>
          <w:szCs w:val="32"/>
          <w:highlight w:val="none"/>
          <w:vertAlign w:val="baseline"/>
          <w:lang w:val="en-US" w:eastAsia="zh-CN" w:bidi="ar-SA"/>
        </w:rPr>
        <w:t>条。</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kern w:val="2"/>
          <w:sz w:val="32"/>
          <w:szCs w:val="32"/>
          <w:vertAlign w:val="baseline"/>
          <w:lang w:val="en-US" w:eastAsia="zh-CN" w:bidi="ar-SA"/>
        </w:rPr>
      </w:pPr>
      <w:r>
        <w:rPr>
          <w:rFonts w:hint="default" w:ascii="Times New Roman" w:hAnsi="Times New Roman" w:eastAsia="仿宋_GB2312" w:cs="Times New Roman"/>
          <w:b/>
          <w:bCs/>
          <w:sz w:val="32"/>
          <w:szCs w:val="32"/>
          <w:vertAlign w:val="baseline"/>
          <w:lang w:val="en-US" w:eastAsia="zh-CN"/>
        </w:rPr>
        <w:t>（二）依申请公开办理情况。</w:t>
      </w:r>
      <w:r>
        <w:rPr>
          <w:rFonts w:hint="default" w:ascii="Times New Roman" w:hAnsi="Times New Roman" w:eastAsia="仿宋_GB2312" w:cs="Times New Roman"/>
          <w:kern w:val="2"/>
          <w:sz w:val="32"/>
          <w:szCs w:val="32"/>
          <w:vertAlign w:val="baseline"/>
          <w:lang w:val="en-US" w:eastAsia="zh-CN" w:bidi="ar-SA"/>
        </w:rPr>
        <w:t>我办进一步完善政府信息公开申请登记、审核、办理、答复、归档等工作制度。202</w:t>
      </w:r>
      <w:r>
        <w:rPr>
          <w:rFonts w:hint="default" w:ascii="Times New Roman" w:hAnsi="Times New Roman" w:eastAsia="仿宋_GB2312" w:cs="Times New Roman"/>
          <w:kern w:val="2"/>
          <w:sz w:val="32"/>
          <w:szCs w:val="32"/>
          <w:vertAlign w:val="baseline"/>
          <w:lang w:val="en-US" w:eastAsia="zh-CN" w:bidi="ar-SA"/>
        </w:rPr>
        <w:t>3</w:t>
      </w:r>
      <w:r>
        <w:rPr>
          <w:rFonts w:hint="default" w:ascii="Times New Roman" w:hAnsi="Times New Roman" w:eastAsia="仿宋_GB2312" w:cs="Times New Roman"/>
          <w:kern w:val="2"/>
          <w:sz w:val="32"/>
          <w:szCs w:val="32"/>
          <w:vertAlign w:val="baseline"/>
          <w:lang w:val="en-US" w:eastAsia="zh-CN" w:bidi="ar-SA"/>
        </w:rPr>
        <w:t>年度，我办受理、办理依申请公开申请0件。</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b/>
          <w:bCs/>
          <w:sz w:val="32"/>
          <w:szCs w:val="32"/>
          <w:vertAlign w:val="baseline"/>
          <w:lang w:val="en-US" w:eastAsia="zh-CN"/>
        </w:rPr>
      </w:pPr>
      <w:r>
        <w:rPr>
          <w:rFonts w:hint="default" w:ascii="Times New Roman" w:hAnsi="Times New Roman" w:eastAsia="仿宋_GB2312" w:cs="Times New Roman"/>
          <w:b/>
          <w:bCs/>
          <w:sz w:val="32"/>
          <w:szCs w:val="32"/>
          <w:vertAlign w:val="baseline"/>
          <w:lang w:val="en-US" w:eastAsia="zh-CN"/>
        </w:rPr>
        <w:t>（三）政府信息管理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2"/>
          <w:sz w:val="32"/>
          <w:szCs w:val="32"/>
          <w:vertAlign w:val="baseline"/>
          <w:lang w:val="en-US" w:eastAsia="zh-CN" w:bidi="ar-SA"/>
        </w:rPr>
      </w:pPr>
      <w:r>
        <w:rPr>
          <w:rFonts w:hint="default" w:ascii="Times New Roman" w:hAnsi="Times New Roman" w:eastAsia="仿宋_GB2312" w:cs="Times New Roman"/>
          <w:kern w:val="2"/>
          <w:sz w:val="32"/>
          <w:szCs w:val="32"/>
          <w:vertAlign w:val="baseline"/>
          <w:lang w:val="en-US" w:eastAsia="zh-CN" w:bidi="ar-SA"/>
        </w:rPr>
        <w:t>1.加强信息保密管理。落实专人做好政府信息公开保密审查和发布工作，每月按要求做好政务公开问题整改工作。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2"/>
          <w:sz w:val="32"/>
          <w:szCs w:val="32"/>
          <w:vertAlign w:val="baseline"/>
          <w:lang w:val="en-US" w:eastAsia="zh-CN" w:bidi="ar-SA"/>
        </w:rPr>
      </w:pPr>
      <w:r>
        <w:rPr>
          <w:rFonts w:hint="default" w:ascii="Times New Roman" w:hAnsi="Times New Roman" w:eastAsia="仿宋_GB2312" w:cs="Times New Roman"/>
          <w:kern w:val="2"/>
          <w:sz w:val="32"/>
          <w:szCs w:val="32"/>
          <w:vertAlign w:val="baseline"/>
          <w:lang w:val="en-US" w:eastAsia="zh-CN" w:bidi="ar-SA"/>
        </w:rPr>
        <w:t>2.严格落实信息公开“三审制”。严格落实政府信息公开审查机制，明确审查的程序和责任，全面加强信息发布审核</w:t>
      </w:r>
      <w:r>
        <w:rPr>
          <w:rFonts w:hint="eastAsia" w:ascii="Times New Roman" w:hAnsi="Times New Roman" w:eastAsia="仿宋_GB2312" w:cs="Times New Roman"/>
          <w:kern w:val="2"/>
          <w:sz w:val="32"/>
          <w:szCs w:val="32"/>
          <w:vertAlign w:val="baseline"/>
          <w:lang w:val="en-US" w:eastAsia="zh-CN" w:bidi="ar-SA"/>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kern w:val="2"/>
          <w:sz w:val="32"/>
          <w:szCs w:val="32"/>
          <w:vertAlign w:val="baseline"/>
          <w:lang w:val="en-US" w:eastAsia="zh-CN" w:bidi="ar-SA"/>
        </w:rPr>
      </w:pPr>
      <w:r>
        <w:rPr>
          <w:rFonts w:hint="default" w:ascii="Times New Roman" w:hAnsi="Times New Roman" w:eastAsia="仿宋_GB2312" w:cs="Times New Roman"/>
          <w:b/>
          <w:bCs/>
          <w:sz w:val="32"/>
          <w:szCs w:val="32"/>
          <w:vertAlign w:val="baseline"/>
          <w:lang w:val="en-US" w:eastAsia="zh-CN"/>
        </w:rPr>
        <w:t>（四）</w:t>
      </w:r>
      <w:r>
        <w:rPr>
          <w:rFonts w:hint="default" w:ascii="Times New Roman" w:hAnsi="Times New Roman" w:eastAsia="仿宋_GB2312" w:cs="Times New Roman"/>
          <w:b/>
          <w:bCs/>
          <w:sz w:val="32"/>
          <w:szCs w:val="32"/>
          <w:vertAlign w:val="baseline"/>
          <w:lang w:val="en-US" w:eastAsia="zh-CN"/>
        </w:rPr>
        <w:t>政府信息公开平台</w:t>
      </w:r>
      <w:r>
        <w:rPr>
          <w:rFonts w:hint="default" w:ascii="Times New Roman" w:hAnsi="Times New Roman" w:eastAsia="仿宋_GB2312" w:cs="Times New Roman"/>
          <w:b/>
          <w:bCs/>
          <w:sz w:val="32"/>
          <w:szCs w:val="32"/>
          <w:vertAlign w:val="baseline"/>
          <w:lang w:val="en-US" w:eastAsia="zh-CN"/>
        </w:rPr>
        <w:t>建设情况。</w:t>
      </w:r>
      <w:r>
        <w:rPr>
          <w:rFonts w:hint="default" w:ascii="Times New Roman" w:hAnsi="Times New Roman" w:eastAsia="仿宋_GB2312" w:cs="Times New Roman"/>
          <w:kern w:val="2"/>
          <w:sz w:val="32"/>
          <w:szCs w:val="32"/>
          <w:vertAlign w:val="baseline"/>
          <w:lang w:val="en-US" w:eastAsia="zh-CN" w:bidi="ar-SA"/>
        </w:rPr>
        <w:t>进一步加强对政府信息公开平台的建设，做好政府信息网站管理，及时发布相关信息。标准化、规范化建设街道便民服务大厅政务公开专区，完善政府信息查询、依申请公开受理、办事服务咨询、政策咨询综合服务窗口，为群众提供更便捷的服务。</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kern w:val="2"/>
          <w:sz w:val="32"/>
          <w:szCs w:val="32"/>
          <w:vertAlign w:val="baseline"/>
          <w:lang w:val="en-US" w:eastAsia="zh-CN" w:bidi="ar-SA"/>
        </w:rPr>
      </w:pPr>
      <w:r>
        <w:rPr>
          <w:rFonts w:hint="default" w:ascii="Times New Roman" w:hAnsi="Times New Roman" w:eastAsia="仿宋_GB2312" w:cs="Times New Roman"/>
          <w:b/>
          <w:bCs/>
          <w:sz w:val="32"/>
          <w:szCs w:val="32"/>
          <w:vertAlign w:val="baseline"/>
          <w:lang w:val="en-US" w:eastAsia="zh-CN"/>
        </w:rPr>
        <w:t>（五）监督保障</w:t>
      </w:r>
      <w:r>
        <w:rPr>
          <w:rFonts w:hint="default" w:ascii="Times New Roman" w:hAnsi="Times New Roman" w:eastAsia="仿宋_GB2312" w:cs="Times New Roman"/>
          <w:b/>
          <w:bCs/>
          <w:sz w:val="32"/>
          <w:szCs w:val="32"/>
          <w:vertAlign w:val="baseline"/>
          <w:lang w:val="en-US" w:eastAsia="zh-CN"/>
        </w:rPr>
        <w:t>。</w:t>
      </w:r>
      <w:r>
        <w:rPr>
          <w:rFonts w:hint="default" w:ascii="Times New Roman" w:hAnsi="Times New Roman" w:eastAsia="仿宋_GB2312" w:cs="Times New Roman"/>
          <w:kern w:val="2"/>
          <w:sz w:val="32"/>
          <w:szCs w:val="32"/>
          <w:vertAlign w:val="baseline"/>
          <w:lang w:val="en-US" w:eastAsia="zh-CN" w:bidi="ar-SA"/>
        </w:rPr>
        <w:t>加强组织领导，高度重视政府信息公开工作。坚持将政府信息工作作为部门工作的一项重要内容进行布置并狠抓计划落实。定期对政府信息公开内容开展自查，并对日常测评反馈的问题，及时进行整改。对照考核指标认真梳理政务公开各项指标，及时发现和处理工作中发现的问题，有力推进政府信息公开工作的有效落实，为经济社会发展营造良好氛围。继续将政府信息公开工作纳入年度目标工作考核，建立社会评议制度和责任追究制度。202</w:t>
      </w:r>
      <w:r>
        <w:rPr>
          <w:rFonts w:hint="default" w:ascii="Times New Roman" w:hAnsi="Times New Roman" w:eastAsia="仿宋_GB2312" w:cs="Times New Roman"/>
          <w:kern w:val="2"/>
          <w:sz w:val="32"/>
          <w:szCs w:val="32"/>
          <w:vertAlign w:val="baseline"/>
          <w:lang w:val="en-US" w:eastAsia="zh-CN" w:bidi="ar-SA"/>
        </w:rPr>
        <w:t>3</w:t>
      </w:r>
      <w:r>
        <w:rPr>
          <w:rFonts w:hint="default" w:ascii="Times New Roman" w:hAnsi="Times New Roman" w:eastAsia="仿宋_GB2312" w:cs="Times New Roman"/>
          <w:kern w:val="2"/>
          <w:sz w:val="32"/>
          <w:szCs w:val="32"/>
          <w:vertAlign w:val="baseline"/>
          <w:lang w:val="en-US" w:eastAsia="zh-CN" w:bidi="ar-SA"/>
        </w:rPr>
        <w:t>我</w:t>
      </w:r>
      <w:r>
        <w:rPr>
          <w:rFonts w:hint="default" w:ascii="Times New Roman" w:hAnsi="Times New Roman" w:eastAsia="仿宋_GB2312" w:cs="Times New Roman"/>
          <w:kern w:val="2"/>
          <w:sz w:val="32"/>
          <w:szCs w:val="32"/>
          <w:vertAlign w:val="baseline"/>
          <w:lang w:val="en-US" w:eastAsia="zh-CN" w:bidi="ar-SA"/>
        </w:rPr>
        <w:t>镇</w:t>
      </w:r>
      <w:r>
        <w:rPr>
          <w:rFonts w:hint="default" w:ascii="Times New Roman" w:hAnsi="Times New Roman" w:eastAsia="仿宋_GB2312" w:cs="Times New Roman"/>
          <w:kern w:val="2"/>
          <w:sz w:val="32"/>
          <w:szCs w:val="32"/>
          <w:vertAlign w:val="baseline"/>
          <w:lang w:val="en-US" w:eastAsia="zh-CN" w:bidi="ar-SA"/>
        </w:rPr>
        <w:t>未发生政务公开责任追究情况。</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right="0" w:firstLine="640" w:firstLineChars="200"/>
        <w:jc w:val="left"/>
        <w:rPr>
          <w:rFonts w:ascii="微软雅黑" w:hAnsi="微软雅黑" w:eastAsia="微软雅黑" w:cs="微软雅黑"/>
          <w:b w:val="0"/>
          <w:bCs w:val="0"/>
          <w:i w:val="0"/>
          <w:iCs w:val="0"/>
          <w:caps w:val="0"/>
          <w:color w:val="000000" w:themeColor="text1"/>
          <w:spacing w:val="0"/>
          <w:sz w:val="24"/>
          <w:szCs w:val="24"/>
          <w14:textFill>
            <w14:solidFill>
              <w14:schemeClr w14:val="tx1"/>
            </w14:solidFill>
          </w14:textFill>
        </w:rPr>
      </w:pPr>
      <w:r>
        <w:rPr>
          <w:rStyle w:val="7"/>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二、主动公开政府信息情况</w:t>
      </w:r>
    </w:p>
    <w:tbl>
      <w:tblPr>
        <w:tblStyle w:val="4"/>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本年制发件数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eastAsia" w:ascii="Calibri" w:hAnsi="Calibri" w:eastAsia="宋体" w:cs="Calibri"/>
                <w:color w:val="000000" w:themeColor="text1"/>
                <w:kern w:val="0"/>
                <w:sz w:val="21"/>
                <w:szCs w:val="21"/>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eastAsia" w:ascii="Calibri" w:hAnsi="Calibri" w:eastAsia="宋体" w:cs="Calibri"/>
                <w:color w:val="000000" w:themeColor="text1"/>
                <w:kern w:val="0"/>
                <w:sz w:val="21"/>
                <w:szCs w:val="21"/>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eastAsia" w:ascii="Calibri" w:hAnsi="Calibri" w:eastAsia="宋体" w:cs="Calibri"/>
                <w:color w:val="000000" w:themeColor="text1"/>
                <w:kern w:val="0"/>
                <w:sz w:val="21"/>
                <w:szCs w:val="21"/>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eastAsia" w:ascii="宋体" w:eastAsiaTheme="minorEastAsia"/>
                <w:color w:val="000000" w:themeColor="text1"/>
                <w:sz w:val="24"/>
                <w:szCs w:val="24"/>
                <w:lang w:val="en-US" w:eastAsia="zh-CN"/>
                <w14:textFill>
                  <w14:solidFill>
                    <w14:schemeClr w14:val="tx1"/>
                  </w14:solidFill>
                </w14:textFill>
              </w:rPr>
            </w:pPr>
            <w:r>
              <w:rPr>
                <w:rFonts w:hint="eastAsia" w:ascii="宋体"/>
                <w:color w:val="000000" w:themeColor="text1"/>
                <w:sz w:val="24"/>
                <w:szCs w:val="24"/>
                <w:lang w:val="en-US" w:eastAsia="zh-CN"/>
                <w14:textFill>
                  <w14:solidFill>
                    <w14:schemeClr w14:val="tx1"/>
                  </w14:solidFill>
                </w14:textFill>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黑体" w:hAnsi="黑体" w:eastAsia="黑体" w:cs="黑体"/>
          <w:b w:val="0"/>
          <w:bCs/>
          <w:i w:val="0"/>
          <w:caps w:val="0"/>
          <w:color w:val="000000" w:themeColor="text1"/>
          <w:spacing w:val="0"/>
          <w:sz w:val="32"/>
          <w:szCs w:val="32"/>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color="auto" w:fill="FFFFFF"/>
          <w14:textFill>
            <w14:solidFill>
              <w14:schemeClr w14:val="tx1"/>
            </w14:solidFill>
          </w14:textFill>
        </w:rPr>
        <w:t>三、收到和处理政府信息公开申请情况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000000" w:themeColor="text1"/>
          <w:spacing w:val="0"/>
          <w:sz w:val="24"/>
          <w:szCs w:val="24"/>
          <w14:textFill>
            <w14:solidFill>
              <w14:schemeClr w14:val="tx1"/>
            </w14:solidFill>
          </w14:textFill>
        </w:rPr>
      </w:pP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ascii="楷体" w:hAnsi="楷体" w:eastAsia="楷体" w:cs="楷体"/>
                <w:color w:val="000000" w:themeColor="text1"/>
                <w:kern w:val="0"/>
                <w:sz w:val="20"/>
                <w:szCs w:val="20"/>
                <w:lang w:val="en-US" w:eastAsia="zh-CN" w:bidi="ar"/>
                <w14:textFill>
                  <w14:solidFill>
                    <w14:schemeClr w14:val="tx1"/>
                  </w14:solidFill>
                </w14:textFill>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color w:val="000000" w:themeColor="text1"/>
                <w:sz w:val="24"/>
                <w:szCs w:val="24"/>
                <w14:textFill>
                  <w14:solidFill>
                    <w14:schemeClr w14:val="tx1"/>
                  </w14:solidFill>
                </w14:textFill>
              </w:rPr>
            </w:pPr>
          </w:p>
        </w:tc>
        <w:tc>
          <w:tcPr>
            <w:tcW w:w="688"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自然人</w:t>
            </w:r>
          </w:p>
        </w:tc>
        <w:tc>
          <w:tcPr>
            <w:tcW w:w="3440"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法人或其他组织</w:t>
            </w:r>
          </w:p>
        </w:tc>
        <w:tc>
          <w:tcPr>
            <w:tcW w:w="689"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color w:val="000000" w:themeColor="text1"/>
                <w:sz w:val="24"/>
                <w:szCs w:val="24"/>
                <w14:textFill>
                  <w14:solidFill>
                    <w14:schemeClr w14:val="tx1"/>
                  </w14:solidFill>
                </w14:textFill>
              </w:rPr>
            </w:pPr>
          </w:p>
        </w:tc>
        <w:tc>
          <w:tcPr>
            <w:tcW w:w="688" w:type="dxa"/>
            <w:vMerge w:val="continue"/>
            <w:tcBorders>
              <w:top w:val="nil"/>
              <w:left w:val="nil"/>
              <w:bottom w:val="single"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企业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社会公益组织</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法律服务机构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其他</w:t>
            </w:r>
          </w:p>
        </w:tc>
        <w:tc>
          <w:tcPr>
            <w:tcW w:w="689"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三、本年度办理结果</w:t>
            </w: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（二）部分公开</w:t>
            </w:r>
            <w:r>
              <w:rPr>
                <w:rFonts w:hint="default" w:ascii="楷体" w:hAnsi="楷体" w:eastAsia="楷体" w:cs="楷体"/>
                <w:color w:val="000000" w:themeColor="text1"/>
                <w:kern w:val="0"/>
                <w:sz w:val="20"/>
                <w:szCs w:val="20"/>
                <w:lang w:val="en-US" w:eastAsia="zh-CN" w:bidi="ar"/>
                <w14:textFill>
                  <w14:solidFill>
                    <w14:schemeClr w14:val="tx1"/>
                  </w14:solidFill>
                </w14:textFill>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（三）不予公开</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（四）无法提供</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（五）不予处理</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2.重复申请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20"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9"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（六）其他处理</w:t>
            </w: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color w:val="000000" w:themeColor="text1"/>
                <w:sz w:val="24"/>
                <w:szCs w:val="24"/>
                <w14:textFill>
                  <w14:solidFill>
                    <w14:schemeClr w14:val="tx1"/>
                  </w14:solidFill>
                </w14:textFill>
              </w:rPr>
            </w:pP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四、结转下年度继续办理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themeColor="text1"/>
                <w:lang w:val="en-US"/>
                <w14:textFill>
                  <w14:solidFill>
                    <w14:schemeClr w14:val="tx1"/>
                  </w14:solidFill>
                </w14:textFill>
              </w:rPr>
            </w:pP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val="en-US" w:eastAsia="zh-CN" w:bidi="ar"/>
                <w14:textFill>
                  <w14:solidFill>
                    <w14:schemeClr w14:val="tx1"/>
                  </w14:solidFill>
                </w14:textFill>
              </w:rPr>
              <w:t>0</w:t>
            </w:r>
            <w:r>
              <w:rPr>
                <w:rFonts w:hint="default" w:ascii="Calibri" w:hAnsi="Calibri" w:eastAsia="宋体" w:cs="Calibri"/>
                <w:color w:val="000000" w:themeColor="text1"/>
                <w:kern w:val="0"/>
                <w:sz w:val="20"/>
                <w:szCs w:val="20"/>
                <w:lang w:val="en-US" w:eastAsia="zh-CN" w:bidi="ar"/>
                <w14:textFill>
                  <w14:solidFill>
                    <w14:schemeClr w14:val="tx1"/>
                  </w14:solidFill>
                </w14:textFill>
              </w:rPr>
              <w:t>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jc w:val="center"/>
              <w:rPr>
                <w:rFonts w:hint="default" w:ascii="宋体" w:eastAsiaTheme="minorEastAsia"/>
                <w:color w:val="000000" w:themeColor="text1"/>
                <w:sz w:val="24"/>
                <w:szCs w:val="24"/>
                <w:lang w:val="en-US" w:eastAsia="zh-CN"/>
                <w14:textFill>
                  <w14:solidFill>
                    <w14:schemeClr w14:val="tx1"/>
                  </w14:solidFill>
                </w14:textFill>
              </w:rPr>
            </w:pPr>
            <w:r>
              <w:rPr>
                <w:rFonts w:hint="eastAsia" w:ascii="宋体"/>
                <w:color w:val="000000" w:themeColor="text1"/>
                <w:sz w:val="24"/>
                <w:szCs w:val="24"/>
                <w:lang w:val="en-US" w:eastAsia="zh-CN"/>
                <w14:textFill>
                  <w14:solidFill>
                    <w14:schemeClr w14:val="tx1"/>
                  </w14:solidFill>
                </w14:textFill>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000000" w:themeColor="text1"/>
          <w:spacing w:val="0"/>
          <w:sz w:val="24"/>
          <w:szCs w:val="24"/>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eastAsia" w:ascii="宋体" w:hAnsi="宋体" w:eastAsia="宋体" w:cs="宋体"/>
          <w:b w:val="0"/>
          <w:bCs/>
          <w:i w:val="0"/>
          <w:caps w:val="0"/>
          <w:color w:val="000000" w:themeColor="text1"/>
          <w:spacing w:val="0"/>
          <w:sz w:val="32"/>
          <w:szCs w:val="32"/>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color="auto" w:fill="FFFFFF"/>
          <w14:textFill>
            <w14:solidFill>
              <w14:schemeClr w14:val="tx1"/>
            </w14:solidFill>
          </w14:textFill>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000000" w:themeColor="text1"/>
          <w:spacing w:val="0"/>
          <w:sz w:val="24"/>
          <w:szCs w:val="24"/>
          <w14:textFill>
            <w14:solidFill>
              <w14:schemeClr w14:val="tx1"/>
            </w14:solidFill>
          </w14:textFill>
        </w:rPr>
      </w:pP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行政复议</w:t>
            </w:r>
          </w:p>
        </w:tc>
        <w:tc>
          <w:tcPr>
            <w:tcW w:w="6503"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结果维持</w:t>
            </w:r>
          </w:p>
        </w:tc>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结果</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其他</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结果</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尚未</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审结</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总计</w:t>
            </w:r>
          </w:p>
        </w:tc>
        <w:tc>
          <w:tcPr>
            <w:tcW w:w="324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color w:val="000000" w:themeColor="text1"/>
                <w:sz w:val="24"/>
                <w:szCs w:val="24"/>
                <w14:textFill>
                  <w14:solidFill>
                    <w14:schemeClr w14:val="tx1"/>
                  </w14:solidFill>
                </w14:textFill>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color w:val="000000" w:themeColor="text1"/>
                <w:sz w:val="24"/>
                <w:szCs w:val="24"/>
                <w14:textFill>
                  <w14:solidFill>
                    <w14:schemeClr w14:val="tx1"/>
                  </w14:solidFill>
                </w14:textFill>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color w:val="000000" w:themeColor="text1"/>
                <w:sz w:val="24"/>
                <w:szCs w:val="24"/>
                <w14:textFill>
                  <w14:solidFill>
                    <w14:schemeClr w14:val="tx1"/>
                  </w14:solidFill>
                </w14:textFill>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color w:val="000000" w:themeColor="text1"/>
                <w:sz w:val="24"/>
                <w:szCs w:val="24"/>
                <w14:textFill>
                  <w14:solidFill>
                    <w14:schemeClr w14:val="tx1"/>
                  </w14:solidFill>
                </w14:textFill>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color w:val="000000" w:themeColor="text1"/>
                <w:sz w:val="24"/>
                <w:szCs w:val="24"/>
                <w14:textFill>
                  <w14:solidFill>
                    <w14:schemeClr w14:val="tx1"/>
                  </w14:solidFill>
                </w14:textFill>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结果</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结果</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其他</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尚未</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总计</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结果</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维持</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结果</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纠正</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其他</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结果</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尚未</w:t>
            </w:r>
            <w:r>
              <w:rPr>
                <w:rFonts w:hint="eastAsia" w:ascii="宋体" w:hAnsi="宋体" w:eastAsia="宋体" w:cs="宋体"/>
                <w:color w:val="000000" w:themeColor="text1"/>
                <w:kern w:val="0"/>
                <w:sz w:val="20"/>
                <w:szCs w:val="20"/>
                <w:lang w:val="en-US" w:eastAsia="zh-CN" w:bidi="ar"/>
                <w14:textFill>
                  <w14:solidFill>
                    <w14:schemeClr w14:val="tx1"/>
                  </w14:solidFill>
                </w14:textFill>
              </w:rPr>
              <w:br w:type="textWrapping"/>
            </w:r>
            <w:r>
              <w:rPr>
                <w:rFonts w:hint="eastAsia" w:ascii="宋体" w:hAnsi="宋体" w:eastAsia="宋体" w:cs="宋体"/>
                <w:color w:val="000000" w:themeColor="text1"/>
                <w:kern w:val="0"/>
                <w:sz w:val="20"/>
                <w:szCs w:val="20"/>
                <w:lang w:val="en-US" w:eastAsia="zh-CN" w:bidi="ar"/>
                <w14:textFill>
                  <w14:solidFill>
                    <w14:schemeClr w14:val="tx1"/>
                  </w14:solidFill>
                </w14:textFill>
              </w:rPr>
              <w:t>审结</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themeColor="text1"/>
                <w:lang w:val="en-US"/>
                <w14:textFill>
                  <w14:solidFill>
                    <w14:schemeClr w14:val="tx1"/>
                  </w14:solidFill>
                </w14:textFill>
              </w:rPr>
            </w:pPr>
            <w:r>
              <w:rPr>
                <w:rFonts w:hint="eastAsia" w:ascii="黑体" w:hAnsi="宋体" w:eastAsia="黑体" w:cs="黑体"/>
                <w:color w:val="000000" w:themeColor="text1"/>
                <w:kern w:val="0"/>
                <w:sz w:val="20"/>
                <w:szCs w:val="20"/>
                <w:lang w:val="en-US" w:eastAsia="zh-CN" w:bidi="ar"/>
                <w14:textFill>
                  <w14:solidFill>
                    <w14:schemeClr w14:val="tx1"/>
                  </w14:solidFill>
                </w14:textFill>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themeColor="text1"/>
                <w:lang w:val="en-US"/>
                <w14:textFill>
                  <w14:solidFill>
                    <w14:schemeClr w14:val="tx1"/>
                  </w14:solidFill>
                </w14:textFill>
              </w:rPr>
            </w:pPr>
            <w:r>
              <w:rPr>
                <w:rFonts w:hint="eastAsia" w:ascii="黑体" w:hAnsi="宋体" w:eastAsia="黑体" w:cs="黑体"/>
                <w:color w:val="000000" w:themeColor="text1"/>
                <w:kern w:val="0"/>
                <w:sz w:val="20"/>
                <w:szCs w:val="20"/>
                <w:lang w:val="en-US" w:eastAsia="zh-CN" w:bidi="ar"/>
                <w14:textFill>
                  <w14:solidFill>
                    <w14:schemeClr w14:val="tx1"/>
                  </w14:solidFill>
                </w14:textFill>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themeColor="text1"/>
                <w:lang w:val="en-US"/>
                <w14:textFill>
                  <w14:solidFill>
                    <w14:schemeClr w14:val="tx1"/>
                  </w14:solidFill>
                </w14:textFill>
              </w:rPr>
            </w:pPr>
            <w:r>
              <w:rPr>
                <w:rFonts w:hint="eastAsia" w:ascii="黑体" w:hAnsi="宋体" w:eastAsia="黑体" w:cs="黑体"/>
                <w:color w:val="000000" w:themeColor="text1"/>
                <w:kern w:val="0"/>
                <w:sz w:val="20"/>
                <w:szCs w:val="20"/>
                <w:lang w:val="en-US" w:eastAsia="zh-CN" w:bidi="ar"/>
                <w14:textFill>
                  <w14:solidFill>
                    <w14:schemeClr w14:val="tx1"/>
                  </w14:solidFill>
                </w14:textFill>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themeColor="text1"/>
                <w:lang w:val="en-US"/>
                <w14:textFill>
                  <w14:solidFill>
                    <w14:schemeClr w14:val="tx1"/>
                  </w14:solidFill>
                </w14:textFill>
              </w:rPr>
            </w:pPr>
            <w:r>
              <w:rPr>
                <w:rFonts w:hint="eastAsia" w:ascii="黑体" w:hAnsi="宋体" w:eastAsia="黑体" w:cs="黑体"/>
                <w:color w:val="000000" w:themeColor="text1"/>
                <w:kern w:val="0"/>
                <w:sz w:val="20"/>
                <w:szCs w:val="20"/>
                <w:lang w:val="en-US" w:eastAsia="zh-CN" w:bidi="ar"/>
                <w14:textFill>
                  <w14:solidFill>
                    <w14:schemeClr w14:val="tx1"/>
                  </w14:solidFill>
                </w14:textFill>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黑体" w:hAnsi="宋体" w:eastAsia="黑体" w:cs="黑体"/>
                <w:color w:val="000000" w:themeColor="text1"/>
                <w:kern w:val="0"/>
                <w:sz w:val="20"/>
                <w:szCs w:val="20"/>
                <w:lang w:val="en-US" w:eastAsia="zh-CN" w:bidi="ar"/>
                <w14:textFill>
                  <w14:solidFill>
                    <w14:schemeClr w14:val="tx1"/>
                  </w14:solidFill>
                </w14:textFill>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themeColor="text1"/>
                <w:lang w:val="en-US"/>
                <w14:textFill>
                  <w14:solidFill>
                    <w14:schemeClr w14:val="tx1"/>
                  </w14:solidFill>
                </w14:textFill>
              </w:rPr>
            </w:pPr>
            <w:r>
              <w:rPr>
                <w:rFonts w:hint="eastAsia" w:ascii="黑体" w:hAnsi="宋体" w:eastAsia="黑体" w:cs="黑体"/>
                <w:color w:val="000000" w:themeColor="text1"/>
                <w:kern w:val="0"/>
                <w:sz w:val="20"/>
                <w:szCs w:val="20"/>
                <w:lang w:val="en-US" w:eastAsia="zh-CN" w:bidi="ar"/>
                <w14:textFill>
                  <w14:solidFill>
                    <w14:schemeClr w14:val="tx1"/>
                  </w14:solidFill>
                </w14:textFill>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黑体" w:hAnsi="宋体" w:eastAsia="黑体" w:cs="黑体"/>
                <w:color w:val="000000" w:themeColor="text1"/>
                <w:kern w:val="0"/>
                <w:sz w:val="20"/>
                <w:szCs w:val="20"/>
                <w:lang w:val="en-US" w:eastAsia="zh-CN" w:bidi="ar"/>
                <w14:textFill>
                  <w14:solidFill>
                    <w14:schemeClr w14:val="tx1"/>
                  </w14:solidFill>
                </w14:textFill>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黑体" w:hAnsi="宋体" w:eastAsia="黑体" w:cs="黑体"/>
                <w:color w:val="000000" w:themeColor="text1"/>
                <w:kern w:val="0"/>
                <w:sz w:val="20"/>
                <w:szCs w:val="20"/>
                <w:lang w:val="en-US" w:eastAsia="zh-CN" w:bidi="ar"/>
                <w14:textFill>
                  <w14:solidFill>
                    <w14:schemeClr w14:val="tx1"/>
                  </w14:solidFill>
                </w14:textFill>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themeColor="text1"/>
                <w:lang w:val="en-US"/>
                <w14:textFill>
                  <w14:solidFill>
                    <w14:schemeClr w14:val="tx1"/>
                  </w14:solidFill>
                </w14:textFill>
              </w:rPr>
            </w:pPr>
            <w:r>
              <w:rPr>
                <w:rFonts w:hint="eastAsia" w:ascii="黑体" w:hAnsi="宋体" w:eastAsia="黑体" w:cs="黑体"/>
                <w:color w:val="000000" w:themeColor="text1"/>
                <w:kern w:val="0"/>
                <w:sz w:val="20"/>
                <w:szCs w:val="20"/>
                <w:lang w:val="en-US" w:eastAsia="zh-CN" w:bidi="ar"/>
                <w14:textFill>
                  <w14:solidFill>
                    <w14:schemeClr w14:val="tx1"/>
                  </w14:solidFill>
                </w14:textFill>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themeColor="text1"/>
                <w:lang w:val="en-US"/>
                <w14:textFill>
                  <w14:solidFill>
                    <w14:schemeClr w14:val="tx1"/>
                  </w14:solidFill>
                </w14:textFill>
              </w:rPr>
            </w:pPr>
            <w:r>
              <w:rPr>
                <w:rFonts w:hint="eastAsia" w:ascii="黑体" w:hAnsi="宋体" w:eastAsia="黑体" w:cs="黑体"/>
                <w:color w:val="000000" w:themeColor="text1"/>
                <w:kern w:val="0"/>
                <w:sz w:val="20"/>
                <w:szCs w:val="20"/>
                <w:lang w:val="en-US" w:eastAsia="zh-CN" w:bidi="ar"/>
                <w14:textFill>
                  <w14:solidFill>
                    <w14:schemeClr w14:val="tx1"/>
                  </w14:solidFill>
                </w14:textFill>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themeColor="text1"/>
                <w:lang w:val="en-US"/>
                <w14:textFill>
                  <w14:solidFill>
                    <w14:schemeClr w14:val="tx1"/>
                  </w14:solidFill>
                </w14:textFill>
              </w:rPr>
            </w:pPr>
            <w:r>
              <w:rPr>
                <w:rFonts w:hint="eastAsia" w:ascii="黑体" w:hAnsi="宋体" w:eastAsia="黑体" w:cs="黑体"/>
                <w:color w:val="000000" w:themeColor="text1"/>
                <w:kern w:val="0"/>
                <w:sz w:val="20"/>
                <w:szCs w:val="20"/>
                <w:lang w:val="en-US" w:eastAsia="zh-CN" w:bidi="ar"/>
                <w14:textFill>
                  <w14:solidFill>
                    <w14:schemeClr w14:val="tx1"/>
                  </w14:solidFill>
                </w14:textFill>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黑体" w:hAnsi="宋体" w:eastAsia="黑体" w:cs="黑体"/>
                <w:color w:val="000000" w:themeColor="text1"/>
                <w:kern w:val="0"/>
                <w:sz w:val="20"/>
                <w:szCs w:val="20"/>
                <w:lang w:val="en-US" w:eastAsia="zh-CN" w:bidi="ar"/>
                <w14:textFill>
                  <w14:solidFill>
                    <w14:schemeClr w14:val="tx1"/>
                  </w14:solidFill>
                </w14:textFill>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黑体" w:hAnsi="宋体" w:eastAsia="黑体" w:cs="黑体"/>
                <w:color w:val="000000" w:themeColor="text1"/>
                <w:kern w:val="0"/>
                <w:sz w:val="20"/>
                <w:szCs w:val="20"/>
                <w:lang w:val="en-US" w:eastAsia="zh-CN" w:bidi="ar"/>
                <w14:textFill>
                  <w14:solidFill>
                    <w14:schemeClr w14:val="tx1"/>
                  </w14:solidFill>
                </w14:textFill>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黑体" w:hAnsi="宋体" w:eastAsia="黑体" w:cs="黑体"/>
                <w:color w:val="000000" w:themeColor="text1"/>
                <w:kern w:val="0"/>
                <w:sz w:val="20"/>
                <w:szCs w:val="20"/>
                <w:lang w:val="en-US" w:eastAsia="zh-CN" w:bidi="ar"/>
                <w14:textFill>
                  <w14:solidFill>
                    <w14:schemeClr w14:val="tx1"/>
                  </w14:solidFill>
                </w14:textFill>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宋体" w:eastAsiaTheme="minorEastAsia"/>
                <w:color w:val="000000" w:themeColor="text1"/>
                <w:sz w:val="24"/>
                <w:szCs w:val="24"/>
                <w:lang w:val="en-US" w:eastAsia="zh-CN"/>
                <w14:textFill>
                  <w14:solidFill>
                    <w14:schemeClr w14:val="tx1"/>
                  </w14:solidFill>
                </w14:textFill>
              </w:rPr>
            </w:pPr>
            <w:r>
              <w:rPr>
                <w:rFonts w:hint="eastAsia" w:ascii="宋体"/>
                <w:color w:val="000000" w:themeColor="text1"/>
                <w:sz w:val="24"/>
                <w:szCs w:val="24"/>
                <w:lang w:val="en-US" w:eastAsia="zh-CN"/>
                <w14:textFill>
                  <w14:solidFill>
                    <w14:schemeClr w14:val="tx1"/>
                  </w14:solidFill>
                </w14:textFill>
              </w:rPr>
              <w:t>0</w:t>
            </w:r>
          </w:p>
        </w:tc>
      </w:tr>
    </w:tbl>
    <w:p>
      <w:pPr>
        <w:numPr>
          <w:ilvl w:val="0"/>
          <w:numId w:val="0"/>
        </w:numPr>
        <w:ind w:leftChars="0"/>
        <w:jc w:val="both"/>
        <w:rPr>
          <w:rFonts w:hint="eastAsia"/>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vertAlign w:val="baseline"/>
          <w:lang w:val="en-US" w:eastAsia="zh-CN"/>
        </w:rPr>
      </w:pPr>
      <w:r>
        <w:rPr>
          <w:rFonts w:hint="eastAsia" w:ascii="黑体" w:hAnsi="黑体" w:eastAsia="黑体" w:cs="黑体"/>
          <w:sz w:val="32"/>
          <w:szCs w:val="32"/>
          <w:lang w:val="en-US" w:eastAsia="zh-CN"/>
        </w:rPr>
        <w:t>五、</w:t>
      </w:r>
      <w:r>
        <w:rPr>
          <w:rFonts w:hint="default" w:ascii="黑体" w:hAnsi="黑体" w:eastAsia="黑体" w:cs="黑体"/>
          <w:sz w:val="32"/>
          <w:szCs w:val="32"/>
          <w:lang w:eastAsia="zh-CN"/>
        </w:rPr>
        <w:t>存在的主要问题及改进情况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202</w:t>
      </w:r>
      <w:r>
        <w:rPr>
          <w:rFonts w:hint="eastAsia" w:ascii="Times New Roman" w:hAnsi="Times New Roman" w:eastAsia="仿宋_GB2312" w:cs="Times New Roman"/>
          <w:sz w:val="32"/>
          <w:szCs w:val="32"/>
          <w:vertAlign w:val="baseline"/>
          <w:lang w:val="en-US" w:eastAsia="zh-CN"/>
        </w:rPr>
        <w:t>3</w:t>
      </w:r>
      <w:r>
        <w:rPr>
          <w:rFonts w:hint="default" w:ascii="Times New Roman" w:hAnsi="Times New Roman" w:eastAsia="仿宋_GB2312" w:cs="Times New Roman"/>
          <w:sz w:val="32"/>
          <w:szCs w:val="32"/>
          <w:vertAlign w:val="baseline"/>
          <w:lang w:val="en-US" w:eastAsia="zh-CN"/>
        </w:rPr>
        <w:t>年，我镇人民政府信息公开工作在上级部门的领导下</w:t>
      </w:r>
      <w:r>
        <w:rPr>
          <w:rFonts w:hint="eastAsia" w:ascii="Times New Roman" w:hAnsi="Times New Roman" w:eastAsia="仿宋_GB2312" w:cs="Times New Roman"/>
          <w:sz w:val="32"/>
          <w:szCs w:val="32"/>
          <w:vertAlign w:val="baseline"/>
          <w:lang w:val="en-US" w:eastAsia="zh-CN"/>
        </w:rPr>
        <w:t>虽然</w:t>
      </w:r>
      <w:r>
        <w:rPr>
          <w:rFonts w:hint="default" w:ascii="Times New Roman" w:hAnsi="Times New Roman" w:eastAsia="仿宋_GB2312" w:cs="Times New Roman"/>
          <w:sz w:val="32"/>
          <w:szCs w:val="32"/>
          <w:vertAlign w:val="baseline"/>
          <w:lang w:val="en-US" w:eastAsia="zh-CN"/>
        </w:rPr>
        <w:t>取得了一些成效，但</w:t>
      </w:r>
      <w:r>
        <w:rPr>
          <w:rFonts w:hint="eastAsia" w:ascii="Times New Roman" w:hAnsi="Times New Roman" w:eastAsia="仿宋_GB2312" w:cs="Times New Roman"/>
          <w:sz w:val="32"/>
          <w:szCs w:val="32"/>
          <w:vertAlign w:val="baseline"/>
          <w:lang w:val="en-US" w:eastAsia="zh-CN"/>
        </w:rPr>
        <w:t>是</w:t>
      </w:r>
      <w:r>
        <w:rPr>
          <w:rFonts w:hint="default" w:ascii="Times New Roman" w:hAnsi="Times New Roman" w:eastAsia="仿宋_GB2312" w:cs="Times New Roman"/>
          <w:sz w:val="32"/>
          <w:szCs w:val="32"/>
          <w:vertAlign w:val="baseline"/>
          <w:lang w:val="en-US" w:eastAsia="zh-CN"/>
        </w:rPr>
        <w:t>仍然存在一些</w:t>
      </w:r>
      <w:r>
        <w:rPr>
          <w:rFonts w:hint="eastAsia" w:ascii="Times New Roman" w:hAnsi="Times New Roman" w:eastAsia="仿宋_GB2312" w:cs="Times New Roman"/>
          <w:sz w:val="32"/>
          <w:szCs w:val="32"/>
          <w:vertAlign w:val="baseline"/>
          <w:lang w:val="en-US" w:eastAsia="zh-CN"/>
        </w:rPr>
        <w:t>不足之处</w:t>
      </w:r>
      <w:r>
        <w:rPr>
          <w:rFonts w:hint="default" w:ascii="Times New Roman" w:hAnsi="Times New Roman" w:eastAsia="仿宋_GB2312" w:cs="Times New Roman"/>
          <w:sz w:val="32"/>
          <w:szCs w:val="32"/>
          <w:vertAlign w:val="baseline"/>
          <w:lang w:val="en-US" w:eastAsia="zh-CN"/>
        </w:rPr>
        <w:t>：</w:t>
      </w:r>
      <w:r>
        <w:rPr>
          <w:rFonts w:hint="eastAsia" w:ascii="Times New Roman" w:hAnsi="Times New Roman" w:eastAsia="仿宋_GB2312" w:cs="Times New Roman"/>
          <w:sz w:val="32"/>
          <w:szCs w:val="32"/>
          <w:vertAlign w:val="baseline"/>
          <w:lang w:val="en-US" w:eastAsia="zh-CN"/>
        </w:rPr>
        <w:t>一是</w:t>
      </w:r>
      <w:r>
        <w:rPr>
          <w:rFonts w:hint="default" w:ascii="Times New Roman" w:hAnsi="Times New Roman" w:eastAsia="仿宋_GB2312" w:cs="Times New Roman"/>
          <w:sz w:val="32"/>
          <w:szCs w:val="32"/>
          <w:vertAlign w:val="baseline"/>
          <w:lang w:val="en-US" w:eastAsia="zh-CN"/>
        </w:rPr>
        <w:t>少数干部对政务公开工作重视程度需要进一步提高。</w:t>
      </w:r>
      <w:r>
        <w:rPr>
          <w:rFonts w:hint="eastAsia" w:ascii="Times New Roman" w:hAnsi="Times New Roman" w:eastAsia="仿宋_GB2312" w:cs="Times New Roman"/>
          <w:sz w:val="32"/>
          <w:szCs w:val="32"/>
          <w:vertAlign w:val="baseline"/>
          <w:lang w:val="en-US" w:eastAsia="zh-CN"/>
        </w:rPr>
        <w:t>二是</w:t>
      </w:r>
      <w:r>
        <w:rPr>
          <w:rFonts w:hint="default" w:ascii="Times New Roman" w:hAnsi="Times New Roman" w:eastAsia="仿宋_GB2312" w:cs="Times New Roman"/>
          <w:sz w:val="32"/>
          <w:szCs w:val="32"/>
          <w:vertAlign w:val="baseline"/>
          <w:lang w:val="en-US" w:eastAsia="zh-CN"/>
        </w:rPr>
        <w:t>政府信息公开内容、格式规范还需要进一步加强。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firstLineChars="200"/>
        <w:jc w:val="left"/>
        <w:textAlignment w:val="auto"/>
        <w:rPr>
          <w:rFonts w:hint="default" w:ascii="Times New Roman" w:hAnsi="Times New Roman" w:cs="Times New Roman"/>
          <w:sz w:val="32"/>
          <w:szCs w:val="32"/>
          <w:lang w:eastAsia="zh-CN"/>
        </w:rPr>
      </w:pPr>
      <w:r>
        <w:rPr>
          <w:rFonts w:hint="default" w:ascii="Times New Roman" w:hAnsi="Times New Roman" w:eastAsia="仿宋_GB2312" w:cs="Times New Roman"/>
          <w:sz w:val="32"/>
          <w:szCs w:val="32"/>
          <w:vertAlign w:val="baseline"/>
          <w:lang w:val="en-US" w:eastAsia="zh-CN"/>
        </w:rPr>
        <w:t>针对以上不足，202</w:t>
      </w:r>
      <w:r>
        <w:rPr>
          <w:rFonts w:hint="eastAsia" w:ascii="Times New Roman" w:hAnsi="Times New Roman" w:eastAsia="仿宋_GB2312" w:cs="Times New Roman"/>
          <w:sz w:val="32"/>
          <w:szCs w:val="32"/>
          <w:vertAlign w:val="baseline"/>
          <w:lang w:val="en-US" w:eastAsia="zh-CN"/>
        </w:rPr>
        <w:t>4</w:t>
      </w:r>
      <w:r>
        <w:rPr>
          <w:rFonts w:hint="default" w:ascii="Times New Roman" w:hAnsi="Times New Roman" w:eastAsia="仿宋_GB2312" w:cs="Times New Roman"/>
          <w:sz w:val="32"/>
          <w:szCs w:val="32"/>
          <w:vertAlign w:val="baseline"/>
          <w:lang w:val="en-US" w:eastAsia="zh-CN"/>
        </w:rPr>
        <w:t>年我镇</w:t>
      </w:r>
      <w:r>
        <w:rPr>
          <w:rFonts w:hint="eastAsia" w:ascii="Times New Roman" w:hAnsi="Times New Roman" w:eastAsia="仿宋_GB2312" w:cs="Times New Roman"/>
          <w:sz w:val="32"/>
          <w:szCs w:val="32"/>
          <w:vertAlign w:val="baseline"/>
          <w:lang w:val="en-US" w:eastAsia="zh-CN"/>
        </w:rPr>
        <w:t>将从以下几方面</w:t>
      </w:r>
      <w:r>
        <w:rPr>
          <w:rFonts w:hint="default" w:ascii="Times New Roman" w:hAnsi="Times New Roman" w:eastAsia="仿宋_GB2312" w:cs="Times New Roman"/>
          <w:sz w:val="32"/>
          <w:szCs w:val="32"/>
          <w:vertAlign w:val="baseline"/>
          <w:lang w:val="en-US" w:eastAsia="zh-CN"/>
        </w:rPr>
        <w:t>改进：</w:t>
      </w:r>
      <w:r>
        <w:rPr>
          <w:rFonts w:hint="eastAsia" w:ascii="Times New Roman" w:hAnsi="Times New Roman" w:eastAsia="仿宋_GB2312" w:cs="Times New Roman"/>
          <w:sz w:val="32"/>
          <w:szCs w:val="32"/>
          <w:vertAlign w:val="baseline"/>
          <w:lang w:val="en-US" w:eastAsia="zh-CN"/>
        </w:rPr>
        <w:t>一是要明确职责，抓好落实，将政务公开工作纳入中心工作，进一步明确责任，积极协调各部门、各村积极配合，形成合力，共同推进。二是要学习贯彻《中华人民共和国政府信息公开条例》，对照条例，认真梳理政务公开事项，查漏补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lang w:eastAsia="zh-CN"/>
        </w:rPr>
      </w:pPr>
      <w:r>
        <w:rPr>
          <w:rFonts w:hint="eastAsia" w:ascii="Times New Roman" w:hAnsi="Times New Roman" w:eastAsia="黑体" w:cs="Times New Roman"/>
          <w:sz w:val="32"/>
          <w:szCs w:val="32"/>
          <w:lang w:val="en-US" w:eastAsia="zh-CN"/>
        </w:rPr>
        <w:t>六、</w:t>
      </w:r>
      <w:r>
        <w:rPr>
          <w:rFonts w:hint="default" w:ascii="Times New Roman" w:hAnsi="Times New Roman" w:eastAsia="黑体" w:cs="Times New Roman"/>
          <w:sz w:val="32"/>
          <w:szCs w:val="32"/>
          <w:lang w:eastAsia="zh-CN"/>
        </w:rPr>
        <w:t>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highlight w:val="none"/>
          <w:vertAlign w:val="baseline"/>
          <w:lang w:val="en-US" w:eastAsia="zh-CN"/>
        </w:rPr>
      </w:pPr>
      <w:r>
        <w:rPr>
          <w:rFonts w:hint="default" w:ascii="Times New Roman" w:hAnsi="Times New Roman" w:eastAsia="仿宋_GB2312" w:cs="Times New Roman"/>
          <w:sz w:val="32"/>
          <w:szCs w:val="32"/>
          <w:highlight w:val="none"/>
          <w:vertAlign w:val="baseline"/>
          <w:lang w:val="en-US" w:eastAsia="zh-CN"/>
        </w:rPr>
        <w:t>按照《国务院办公厅关于印发&lt;政府信息公开信息处理费管理办法&gt;的通知》（国办〔2020〕109号）规定的按件、按量收费标准，本年度没有产生信息公开处理费。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eastAsia"/>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eastAsia"/>
          <w:sz w:val="32"/>
          <w:szCs w:val="32"/>
          <w:lang w:eastAsia="zh-CN"/>
        </w:rPr>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7FAF8D"/>
    <w:multiLevelType w:val="singleLevel"/>
    <w:tmpl w:val="787FAF8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hZDNmYWRlNzQyN2Q1YjgxMjc0OTkxNzBlZDBiNTYifQ=="/>
  </w:docVars>
  <w:rsids>
    <w:rsidRoot w:val="32587A3E"/>
    <w:rsid w:val="00B26C16"/>
    <w:rsid w:val="055C3B99"/>
    <w:rsid w:val="064F1EC6"/>
    <w:rsid w:val="072C221A"/>
    <w:rsid w:val="0C7E2199"/>
    <w:rsid w:val="0DD93DEA"/>
    <w:rsid w:val="0DF97B17"/>
    <w:rsid w:val="1457388B"/>
    <w:rsid w:val="1A8A278B"/>
    <w:rsid w:val="1B084FF7"/>
    <w:rsid w:val="1B580DC3"/>
    <w:rsid w:val="24227B6D"/>
    <w:rsid w:val="248D10AB"/>
    <w:rsid w:val="24E238CF"/>
    <w:rsid w:val="2B380682"/>
    <w:rsid w:val="2B6138A5"/>
    <w:rsid w:val="2B645E32"/>
    <w:rsid w:val="2C7566AC"/>
    <w:rsid w:val="2D5952EC"/>
    <w:rsid w:val="308A1FA1"/>
    <w:rsid w:val="313E1763"/>
    <w:rsid w:val="32587A3E"/>
    <w:rsid w:val="35981B47"/>
    <w:rsid w:val="35DB416F"/>
    <w:rsid w:val="36307503"/>
    <w:rsid w:val="38D40B86"/>
    <w:rsid w:val="3C2E5791"/>
    <w:rsid w:val="3C487EA6"/>
    <w:rsid w:val="3FFF2A53"/>
    <w:rsid w:val="427F1EBE"/>
    <w:rsid w:val="428D5BB4"/>
    <w:rsid w:val="4D8B1515"/>
    <w:rsid w:val="51D946E1"/>
    <w:rsid w:val="533517BD"/>
    <w:rsid w:val="5C726994"/>
    <w:rsid w:val="628A0EE5"/>
    <w:rsid w:val="632B0D65"/>
    <w:rsid w:val="695B140D"/>
    <w:rsid w:val="6C621AA2"/>
    <w:rsid w:val="6D1E246C"/>
    <w:rsid w:val="73886BAD"/>
    <w:rsid w:val="77CE7901"/>
    <w:rsid w:val="797B39F1"/>
    <w:rsid w:val="7AE649E8"/>
    <w:rsid w:val="7B191A55"/>
    <w:rsid w:val="7C650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0"/>
    <w:pPr>
      <w:keepNext/>
      <w:keepLines/>
      <w:spacing w:before="260" w:after="260"/>
      <w:ind w:firstLine="0" w:firstLineChars="0"/>
      <w:jc w:val="center"/>
      <w:outlineLvl w:val="1"/>
    </w:pPr>
    <w:rPr>
      <w:rFonts w:ascii="Arial" w:hAnsi="Arial" w:eastAsia="楷体_GB2312"/>
      <w:b/>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autoRedefine/>
    <w:qFormat/>
    <w:uiPriority w:val="0"/>
    <w:rPr>
      <w:b/>
    </w:rPr>
  </w:style>
  <w:style w:type="character" w:styleId="8">
    <w:name w:val="Hyperlink"/>
    <w:basedOn w:val="6"/>
    <w:autoRedefine/>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2189</Words>
  <Characters>2293</Characters>
  <Lines>0</Lines>
  <Paragraphs>0</Paragraphs>
  <TotalTime>26</TotalTime>
  <ScaleCrop>false</ScaleCrop>
  <LinksUpToDate>false</LinksUpToDate>
  <CharactersWithSpaces>2416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2021-12-15T07:33:00Z</dcterms:created>
  <dc:creator>Administrator</dc:creator>
  <cp:lastModifiedBy>陈晓婷</cp:lastModifiedBy>
  <dcterms:modified xsi:type="dcterms:W3CDTF">2024-01-17T08:01:48Z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0E66E2B1732D4871AD4F77E733238BE0_13</vt:lpwstr>
  </property>
</Properties>
</file>