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明光市公共资源交易中心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根据《中华人民共和国政府信息公开条例》（国务院令第711号）规定要求，现将明光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市公共资源交易中心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年政府信息公开工作年度报告向社会公布。如对本报告有任何疑问，请与明光市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公共资源交易中心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办公室联系(地址：明光市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祁仓路98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号，邮编：239400，联系电话0550-8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151091</w:t>
      </w:r>
      <w:r>
        <w:rPr>
          <w:rFonts w:hint="eastAsia" w:ascii="Times New Roman" w:hAnsi="Times New Roman" w:eastAsia="仿宋_GB2312" w:cs="仿宋_GB2312"/>
          <w:sz w:val="32"/>
          <w:szCs w:val="32"/>
        </w:rPr>
        <w:t>,电子邮箱：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mgsggj</w:t>
      </w:r>
      <w:r>
        <w:rPr>
          <w:rFonts w:hint="eastAsia" w:ascii="Times New Roman" w:hAnsi="Times New Roman" w:eastAsia="仿宋_GB2312" w:cs="仿宋_GB2312"/>
          <w:sz w:val="32"/>
          <w:szCs w:val="32"/>
        </w:rPr>
        <w:t>@163.com)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202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年，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val="en-US" w:eastAsia="zh-CN"/>
        </w:rPr>
        <w:t>明光市公共资源交易中心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坚持以习近平新时代中国特色社会主义思想为指导，认真落实党中央、国务院和省委、省政府关于政务公开工作的决策部署，在市委</w:t>
      </w:r>
      <w:r>
        <w:rPr>
          <w:rFonts w:hint="eastAsia" w:ascii="Times New Roman" w:hAnsi="Times New Roman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市政府的坚强领导下，认真贯彻各级关于政务公开和政府信息公开的有关要求，认真落实政务公开工作的各项内容，扎实推进政务公开工作标准化、规范化。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z w:val="32"/>
          <w:szCs w:val="32"/>
          <w:lang w:val="en-US" w:eastAsia="zh-CN"/>
        </w:rPr>
        <w:t>主动公开情况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2023年度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我中心累计主动公开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余条，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工程建设招投标信息207条、政府采购信息380条、土地矿权信息22条、国有产权交易信息99条、农村产权信息113条、其他交易信息68条。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（二）依申请公开情况</w:t>
      </w:r>
      <w:r>
        <w:rPr>
          <w:rFonts w:hint="eastAsia" w:ascii="方正楷体_GB2312" w:hAnsi="方正楷体_GB2312" w:eastAsia="方正楷体_GB2312" w:cs="方正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年我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未收到依申请公开信息件。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（三）政府信息管理。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公共资源交易中心进一步规范政府信息发布和管理，严格遵循发布信息可靠、真实、有用的原则，确保信息发布准确、安全、高效，不断提升信息公开质量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0"/>
          <w:shd w:val="clear" w:color="auto" w:fill="FFFFFF"/>
          <w:lang w:val="en-US" w:eastAsia="zh-CN"/>
        </w:rPr>
        <w:t>严格落实“三审”制度，加强信息发布审核把关，严格执行“分级审核、先审后发”程序。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（四）</w:t>
      </w:r>
      <w:r>
        <w:rPr>
          <w:rFonts w:hint="eastAsia" w:ascii="方正楷体_GB2312" w:hAnsi="方正楷体_GB2312" w:eastAsia="方正楷体_GB2312" w:cs="方正楷体_GB2312"/>
          <w:b w:val="0"/>
          <w:bCs/>
          <w:color w:val="auto"/>
          <w:kern w:val="0"/>
          <w:sz w:val="32"/>
          <w:szCs w:val="32"/>
          <w:lang w:val="en-US" w:eastAsia="zh-CN" w:bidi="ar"/>
        </w:rPr>
        <w:t>政府信息公开平台建设</w:t>
      </w:r>
      <w:r>
        <w:rPr>
          <w:rFonts w:hint="eastAsia" w:ascii="方正楷体_GB2312" w:hAnsi="方正楷体_GB2312" w:eastAsia="方正楷体_GB2312" w:cs="方正楷体_GB2312"/>
          <w:b w:val="0"/>
          <w:bCs/>
          <w:i w:val="0"/>
          <w:caps w:val="0"/>
          <w:color w:val="auto"/>
          <w:spacing w:val="0"/>
          <w:sz w:val="32"/>
          <w:szCs w:val="30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2023年，充分发挥我中心政府信息公开部门网页第一平台的作用，全面调整政府信息公开目录，强化政府信息公开网建设，通过发布招投标流程、服务指南、部门信息等为社会公众提供便利。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（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）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监督保障情况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，通过政务公开工作会议，形成领导重视、组织高效、分工协作的良好工作机制。积极参加上级组织的各类政府信息公开的相关业务培训，加强政务公开工作人员的专业水平、以学促进，提高认识，增强本领，推动业务工作和政务公开工作同谋划同部署同落实，推进政务公开工作齐抓共管、协调有序的工作格局，做好政府信息公开社会评议，接受社会的监督和建议，强化责任追究，为政务服务工作提供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bidi w:val="0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四、政府信息公开行政复议、行政诉讼情况</w:t>
      </w:r>
    </w:p>
    <w:p>
      <w:pPr>
        <w:bidi w:val="0"/>
        <w:rPr>
          <w:rFonts w:hint="eastAsia" w:ascii="Times New Roman" w:hAnsi="Times New Roman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</w:rPr>
        <w:t>(一)存在的问题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2023年，政府信息公开工作取得了一定的成绩，但仍存政府信息主动公开不及时、政策解读不足等情况，政府信息公开发布量还有待提高。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 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</w:rPr>
        <w:t>(二)下一步工作打算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公共资源交易中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心会</w:t>
      </w:r>
      <w:r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进一步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加强</w:t>
      </w:r>
      <w:r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政府信息公开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工作，在市政府办指导下认真贯彻落实各级政务公开决策任务，强化督查问责，不断提高工作水平。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hint="default" w:ascii="Times New Roman" w:hAnsi="Times New Roman" w:eastAsia="仿宋_GB2312" w:cs="仿宋_GB2312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 xml:space="preserve">                       </w:t>
      </w:r>
    </w:p>
    <w:sectPr>
      <w:pgSz w:w="11906" w:h="16838"/>
      <w:pgMar w:top="2098" w:right="158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788EBA-DB6D-42C0-89B9-6A831526ED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3B3BC0D-7D28-4821-909C-D954839951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B6253BA-4391-4027-977E-1942BA77694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08E21B6-1E7C-420E-BE05-C4B3F6BFCE9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6182566-8F11-4A55-8203-5A0C31383AB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3DFC544A-21B4-4A5E-B836-F64132344A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8CF9F29-0E78-451F-9DCF-9544640C388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8" w:fontKey="{E1373C9E-B3B8-40C7-82B7-F5077799B1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C1B71"/>
    <w:multiLevelType w:val="singleLevel"/>
    <w:tmpl w:val="D28C1B7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19E1B7"/>
    <w:multiLevelType w:val="singleLevel"/>
    <w:tmpl w:val="3F19E1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Dg0MmNlZmQzNDA0OTQ1MmZkY2E2NDcyZDgzOGUifQ=="/>
  </w:docVars>
  <w:rsids>
    <w:rsidRoot w:val="4FE36844"/>
    <w:rsid w:val="00E34A37"/>
    <w:rsid w:val="0734703E"/>
    <w:rsid w:val="12D55BB4"/>
    <w:rsid w:val="18285B7E"/>
    <w:rsid w:val="1CEB1440"/>
    <w:rsid w:val="20EC288F"/>
    <w:rsid w:val="21E57537"/>
    <w:rsid w:val="37BF2ED1"/>
    <w:rsid w:val="3DCF6EFB"/>
    <w:rsid w:val="4B4A7C99"/>
    <w:rsid w:val="4FE36844"/>
    <w:rsid w:val="5D6B076B"/>
    <w:rsid w:val="5E663908"/>
    <w:rsid w:val="62CD659E"/>
    <w:rsid w:val="65934ED2"/>
    <w:rsid w:val="66FF44E5"/>
    <w:rsid w:val="6E237939"/>
    <w:rsid w:val="70570698"/>
    <w:rsid w:val="749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2163</Words>
  <Characters>2260</Characters>
  <Lines>0</Lines>
  <Paragraphs>0</Paragraphs>
  <TotalTime>23</TotalTime>
  <ScaleCrop>false</ScaleCrop>
  <LinksUpToDate>false</LinksUpToDate>
  <CharactersWithSpaces>2322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一起闹</cp:lastModifiedBy>
  <dcterms:modified xsi:type="dcterms:W3CDTF">2024-01-16T08:24:00Z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ECC34B157B0143A09AB7238D28EC6264</vt:lpwstr>
  </property>
</Properties>
</file>