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spacing w:before="0" w:after="0" w:line="240" w:lineRule="auto"/>
        <w:jc w:val="center"/>
        <w:rPr>
          <w:rFonts w:hint="eastAsia" w:ascii="宋体" w:hAnsi="宋体" w:cs="宋体"/>
        </w:rPr>
      </w:pPr>
      <w:bookmarkStart w:id="0" w:name="_Toc511061053"/>
      <w:bookmarkStart w:id="1" w:name="_Toc246996157"/>
      <w:bookmarkStart w:id="2" w:name="_Toc247085671"/>
      <w:bookmarkStart w:id="3" w:name="_Toc247096243"/>
      <w:bookmarkStart w:id="4" w:name="_Toc246996900"/>
      <w:bookmarkStart w:id="5" w:name="OLE_LINK1"/>
      <w:bookmarkStart w:id="6" w:name="OLE_LINK3"/>
      <w:r>
        <w:rPr>
          <w:rFonts w:hint="eastAsia" w:ascii="宋体" w:hAnsi="宋体" w:cs="宋体"/>
        </w:rPr>
        <w:t>选取公告</w:t>
      </w:r>
      <w:bookmarkEnd w:id="0"/>
      <w:bookmarkEnd w:id="1"/>
      <w:bookmarkEnd w:id="2"/>
      <w:bookmarkEnd w:id="3"/>
      <w:bookmarkEnd w:id="4"/>
    </w:p>
    <w:tbl>
      <w:tblPr>
        <w:tblStyle w:val="4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33"/>
        <w:gridCol w:w="2786"/>
        <w:gridCol w:w="7"/>
        <w:gridCol w:w="2648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kern w:val="1"/>
                <w:szCs w:val="21"/>
              </w:rPr>
            </w:pPr>
            <w:r>
              <w:rPr>
                <w:rFonts w:hint="eastAsia" w:ascii="宋体" w:hAnsi="宋体" w:cs="宋体"/>
                <w:bCs/>
                <w:kern w:val="1"/>
                <w:szCs w:val="21"/>
              </w:rPr>
              <w:t>项目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441" w:type="dxa"/>
            <w:gridSpan w:val="4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白沙王村小鸽山标准化厂房项目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选取方式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随机抽取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被选取人资格要求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1、企业具有独立承担民事责任的能力；</w:t>
            </w:r>
          </w:p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2、本项目只接受在明光市范围内成立的具备独立法人资格且具有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  <w:t>房屋建筑工程乙级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及以上监理资质（或监理综合资质）企业参加选取；</w:t>
            </w:r>
          </w:p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3、项目负责人必须持有在本单位注册的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  <w:t>房屋建设工程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专业国家级注册监理工程师证书；</w:t>
            </w:r>
          </w:p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4、本项目只接受在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  <w:t>开标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时间前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  <w:t>提交材料的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shd w:val="clear" w:color="auto" w:fill="FFFFFF"/>
              </w:rPr>
              <w:t>企业参与本次项目选取。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是否接受联合体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项目规模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投资估算约</w:t>
            </w: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项目内容范围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  <w:lang w:val="en-US" w:eastAsia="zh-CN"/>
              </w:rPr>
              <w:t>施工图纸及清单上所有内容，</w:t>
            </w: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项目标牌安装等工程，详见设计图纸及工程量清单。项目</w:t>
            </w:r>
            <w:r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  <w:t>施工准备阶段、施工阶段、竣工结算阶段、保修阶段（缺陷责任期）的监理服务，并做好“三控三管一协调”工作。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选取公告发布时间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递交响应文件截止时间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Cs/>
                <w:szCs w:val="21"/>
              </w:rPr>
              <w:t>选取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时间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4</w:t>
            </w:r>
            <w:bookmarkStart w:id="7" w:name="_GoBack"/>
            <w:bookmarkEnd w:id="7"/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选取地点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涧溪镇人民政府二楼会议室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选取文件售价</w:t>
            </w:r>
          </w:p>
        </w:tc>
        <w:tc>
          <w:tcPr>
            <w:tcW w:w="844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246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  息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工程概况</w:t>
            </w:r>
          </w:p>
        </w:tc>
        <w:tc>
          <w:tcPr>
            <w:tcW w:w="8774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在白沙王村小鸽山建设面积约3400平方米的标配化厂房，并配套道路、亮化、管网等相关基础设施</w:t>
            </w:r>
            <w:r>
              <w:rPr>
                <w:rFonts w:hint="eastAsia" w:cs="宋体"/>
                <w:lang w:eastAsia="zh-CN"/>
              </w:rPr>
              <w:t>，</w:t>
            </w:r>
            <w:r>
              <w:rPr>
                <w:rFonts w:hint="eastAsia" w:cs="宋体"/>
              </w:rPr>
              <w:t>项目标牌安装等工程，详见设计图纸及工程量清单。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标段划分</w:t>
            </w:r>
          </w:p>
        </w:tc>
        <w:tc>
          <w:tcPr>
            <w:tcW w:w="8774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一个标段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选取办法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随机抽取法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工程款支付方式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详见选取文件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监理费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工程结算价*0.</w:t>
            </w:r>
            <w:r>
              <w:rPr>
                <w:rFonts w:hint="eastAsia" w:cs="宋体"/>
                <w:lang w:val="en-US" w:eastAsia="zh-CN"/>
              </w:rPr>
              <w:t>7</w:t>
            </w:r>
            <w:r>
              <w:rPr>
                <w:rFonts w:hint="eastAsia" w:cs="宋体"/>
              </w:rPr>
              <w:t>%（费率）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监理服务期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同施工工期（120日历天）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资金来源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财政</w:t>
            </w:r>
            <w:r>
              <w:rPr>
                <w:rFonts w:hint="eastAsia" w:cs="宋体"/>
              </w:rPr>
              <w:t>资金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选取文件等获取方式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24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是否要求提交选取保证金：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☑不要求。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6" w:type="dxa"/>
            <w:gridSpan w:val="6"/>
            <w:noWrap w:val="0"/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建设单位：</w:t>
            </w:r>
            <w:r>
              <w:rPr>
                <w:rFonts w:hint="eastAsia" w:cs="宋体"/>
              </w:rPr>
              <w:t>明光市涧溪镇人民政府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地址：滁州市明光市涧来路与011县道交汇处            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联系人：王峥嵘 </w:t>
            </w: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联系方式：15256693827</w:t>
            </w:r>
          </w:p>
        </w:tc>
      </w:tr>
      <w:bookmarkEnd w:id="5"/>
      <w:bookmarkEnd w:id="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D5A98"/>
    <w:multiLevelType w:val="multilevel"/>
    <w:tmpl w:val="513D5A98"/>
    <w:lvl w:ilvl="0" w:tentative="0">
      <w:start w:val="1"/>
      <w:numFmt w:val="japaneseCounting"/>
      <w:lvlText w:val="第%1章"/>
      <w:lvlJc w:val="left"/>
      <w:pPr>
        <w:tabs>
          <w:tab w:val="left" w:pos="1545"/>
        </w:tabs>
        <w:ind w:left="1545" w:hanging="15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ZDA4MGIyOGQwNDRkZTkzZDhkMmMxNTE3NTRiMDMifQ=="/>
  </w:docVars>
  <w:rsids>
    <w:rsidRoot w:val="32812CB9"/>
    <w:rsid w:val="09153DF2"/>
    <w:rsid w:val="24D0644B"/>
    <w:rsid w:val="32812CB9"/>
    <w:rsid w:val="380242BD"/>
    <w:rsid w:val="54655B15"/>
    <w:rsid w:val="682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2024-04-11T09:00:00Z</dcterms:created>
  <dc:creator>admin</dc:creator>
  <cp:lastModifiedBy>涧溪镇</cp:lastModifiedBy>
  <dcterms:modified xsi:type="dcterms:W3CDTF">2024-04-17T08:07:03Z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4085F5C253564CC48EFCA143F097C7C9_13</vt:lpwstr>
  </property>
</Properties>
</file>