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FF"/>
          <w:sz w:val="44"/>
          <w:szCs w:val="44"/>
          <w:highlight w:val="yellow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2023年工作总结和2024年工作计划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楷体_GB2312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/>
          <w:color w:val="auto"/>
          <w:sz w:val="32"/>
          <w:szCs w:val="32"/>
          <w:highlight w:val="none"/>
        </w:rPr>
        <w:t>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以来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，明光市交通运输局紧扣上级的决策部署，按照年初既定工作目标，坚持落实全年重点工作目标任务不动摇，提振精神，加大力度，狠抓落实，成效显著。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现汇报如下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2023年工作开展情况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亮点工作：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明光市水上渡运安全管理经验被交通运输部海事局评审公示推广；明光市太平集至林业队公路获2022年度安徽省农村公路品质示范路；跃龙湖旅游公路建设工程获2022年度交通优质工程奖；G104明光段一级公路改建工程争取到交通运输部4.5357亿资金支持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；明巢高速公路工程（明光段）于6月20日正式建成通车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（一）全力以赴推进重点项目建设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1.已完工项目</w:t>
      </w: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明巢高速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明光段）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护岗河2座桥梁改建工程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农村公路扩面提质工程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国省干线养护工程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含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G345启那线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S319涧年路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S321半长路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农村道路交通提质惠民工程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明光市自来桥镇梅花村道路维修工程已完工。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2.在建工程项目</w:t>
      </w: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个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宁洛高速“四改八”工程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正在开展路基、桥涵施工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完成整体工程进度48%；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S07徐州至明光高速公路司巷互通连接线工程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已完成收费站办公区房建施工主体结构施工，正在开展路基、桥梁下部结构、上部结构，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截至11月底预计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实际完成总投资占比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39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%；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G104明光段一级公路改建工程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已完成桥梁保通道路、交通组织方案、施工组织方案、安全风险评估的审查工作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图纸与清单比对第二轮审查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正在开展房屋征拆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林地砍伐和土地征收征收工作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X091县道潘村拓宽工程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主体工程已完工，新增安全设施完成约60%。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.</w:t>
      </w: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推进前期工作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项目</w:t>
      </w: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个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S209涧溪独立工矿区道路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工可等正在推进调整；</w:t>
      </w: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映山支路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已完成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土地预公告，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因资金未落实，进度暂缓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机场支路工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正在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进行土地摸排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办理土地分解到户及土地征收协议签署，现已移交嘉元公司编制控制价并进行施工招标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S209皖苏交界至紫潘公路段建设工程项目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完成立项，处于工可阶段，正在进行项目土地预审和选址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泊岗淮河公路特大桥工程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洪评送审稿已报淮委以备最终审查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津里港口物流园工程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已完成《项目建议书》和《可研报告》编制、立项等工作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G345项目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整体正处于工可阶段中。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.配合保障类谋划项目</w:t>
      </w:r>
      <w:r>
        <w:rPr>
          <w:rFonts w:hint="eastAsia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个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明盱高速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完成外业调查，正在开展土地组卷等前期工作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淮扬高速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正在审查工可中；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明定S215高铁连接线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目前由滁州市交通运输局统筹安排。滁州交通运输局已开展环境影响评价、初步设计等相关工作。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（二）坚持不懈推进城乡客运一体化建设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增强公交服务保障能力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在运力投放、线网布局、站点设置上方便群众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开通3条公交专线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首条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旅游专线，增设公交站点7处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首末站1处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候车亭19座、电子站牌8个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加装座椅64个，维护公交亭20个。完成10台新公交车采购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，对10个公交站台进行坡道等适老化改造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结合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6个乡镇</w:t>
      </w:r>
      <w:r>
        <w:rPr>
          <w:rStyle w:val="18"/>
          <w:rFonts w:hint="eastAsia" w:ascii="仿宋_GB2312" w:hAnsi="Arial" w:eastAsia="仿宋_GB2312" w:cs="Arial"/>
          <w:sz w:val="32"/>
          <w:szCs w:val="32"/>
        </w:rPr>
        <w:t>综合运输服务站</w:t>
      </w:r>
      <w:r>
        <w:rPr>
          <w:rStyle w:val="18"/>
          <w:rFonts w:hint="eastAsia" w:ascii="仿宋_GB2312" w:hAnsi="Arial" w:cs="Arial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探索打造农村“三级物流网点”，全力服务农村产业发展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tabs>
          <w:tab w:val="left" w:pos="1251"/>
        </w:tabs>
        <w:bidi w:val="0"/>
        <w:jc w:val="left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（三）坚定不移规范道路运输市场秩序</w:t>
      </w:r>
    </w:p>
    <w:p>
      <w:pPr>
        <w:pStyle w:val="7"/>
        <w:spacing w:line="560" w:lineRule="exact"/>
        <w:ind w:firstLine="640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办理行政许可承诺件23件</w:t>
      </w:r>
      <w:r>
        <w:rPr>
          <w:rFonts w:hint="eastAsia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许可新增普货运输公司7家</w:t>
      </w:r>
      <w:r>
        <w:rPr>
          <w:rFonts w:hint="default" w:ascii="Times New Roman" w:hAnsi="Times New Roman" w:eastAsia="仿宋_GB2312" w:cstheme="minorBidi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、新增货运车辆295台；营运车辆道路运输证年度审验1821台次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theme="minorBidi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道路运输驾驶员诚信考核8560人次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theme="minorBidi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查处水上运输违法案件371起、货运违法案件451起、客车非法营运案件75起</w:t>
      </w:r>
      <w:r>
        <w:rPr>
          <w:rFonts w:hint="eastAsia" w:eastAsia="仿宋_GB2312" w:cstheme="minorBidi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560" w:lineRule="exact"/>
        <w:ind w:firstLine="640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（四）凝心聚力创建全国文明城市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在交通场站营造创建宣传氛围，维护站前广场运输市场秩序</w:t>
      </w:r>
      <w:r>
        <w:rPr>
          <w:rFonts w:hint="eastAsia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出资46万元在出租车上安装智能终端设备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开展站从业人员文明宣传教育，城市公交开展培训2次，培训400余人次，评选“文明驾驶员”60名，评定“文明公交示范线路”1条</w:t>
      </w:r>
      <w:r>
        <w:rPr>
          <w:rFonts w:hint="eastAsia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组织240辆公交车和36辆出租车参加高中考爱心送考活动</w:t>
      </w:r>
      <w:r>
        <w:rPr>
          <w:rFonts w:hint="eastAsia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完成汽车站候车室大楼外立面整治和候车大厅卫生间升级改造，对交通场站存在问题整改8处。</w:t>
      </w:r>
    </w:p>
    <w:p>
      <w:pPr>
        <w:pStyle w:val="7"/>
        <w:numPr>
          <w:ilvl w:val="0"/>
          <w:numId w:val="0"/>
        </w:numPr>
        <w:spacing w:line="560" w:lineRule="exact"/>
        <w:ind w:leftChars="200"/>
        <w:rPr>
          <w:rFonts w:hint="eastAsia" w:ascii="楷体_GB2312" w:hAnsi="Times New Roman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（五）脚踏实地落实反馈问题</w:t>
      </w:r>
      <w:r>
        <w:rPr>
          <w:rFonts w:hint="eastAsia" w:ascii="楷体_GB2312" w:hAnsi="Times New Roman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整改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textAlignment w:val="auto"/>
        <w:rPr>
          <w:rFonts w:hint="eastAsia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积极开展</w:t>
      </w:r>
      <w:r>
        <w:rPr>
          <w:rFonts w:hint="default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省委反馈的</w:t>
      </w:r>
      <w:r>
        <w:rPr>
          <w:rFonts w:hint="eastAsia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问题整改工作，截至目前，已完成“党的二十大精神社会宣传氛围不浓”“明光-盱眙省际毗邻区共建以来，工作仍然停留在学习交流层面”“学习贯彻习近平生态文明思想不够坚决”“个别同志同一岗位任职时间过长”“长期以党组会代替行政办公会”“重点执法领域近三年‘回头看’工作”等问题整改，“农村道路交通安全问题”问题正在持续推进中。</w:t>
      </w:r>
    </w:p>
    <w:p>
      <w:pPr>
        <w:rPr>
          <w:rFonts w:hint="default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（六）锲而不舍推进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党建</w:t>
      </w:r>
      <w:r>
        <w:rPr>
          <w:rFonts w:hint="eastAsia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活动开展</w:t>
      </w:r>
    </w:p>
    <w:p>
      <w:pPr>
        <w:rPr>
          <w:rFonts w:hint="eastAsia" w:cs="Times New Roman"/>
          <w:b w:val="0"/>
          <w:bCs w:val="0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cs="Times New Roman"/>
          <w:b w:val="0"/>
          <w:bCs w:val="0"/>
          <w:color w:val="auto"/>
          <w:kern w:val="2"/>
          <w:sz w:val="32"/>
          <w:szCs w:val="24"/>
          <w:highlight w:val="none"/>
          <w:lang w:val="en-US" w:eastAsia="zh-CN" w:bidi="ar-SA"/>
        </w:rPr>
        <w:t>学习宣传贯彻党的二十大精神，抓好党风廉政教育，开展祭扫烈士陵园、“‘千名党员进万家’春风行动”、“双提升”走访活动，提升党员干部理想信念；扎实开展学习贯彻习近平新时代中国特色社会主义思想主题教育</w:t>
      </w:r>
      <w:bookmarkStart w:id="0" w:name="_GoBack"/>
      <w:bookmarkEnd w:id="0"/>
      <w:r>
        <w:rPr>
          <w:rFonts w:hint="eastAsia" w:cs="Times New Roman"/>
          <w:b w:val="0"/>
          <w:bCs w:val="0"/>
          <w:color w:val="auto"/>
          <w:kern w:val="2"/>
          <w:sz w:val="32"/>
          <w:szCs w:val="24"/>
          <w:highlight w:val="none"/>
          <w:lang w:val="en-US" w:eastAsia="zh-CN" w:bidi="ar-SA"/>
        </w:rPr>
        <w:t>，以党建引领交通运输行业高质量发展。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楷体_GB2312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（七）毫不放松抓好各类专项整治落实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道路交通安全专项整治。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highlight w:val="none"/>
        </w:rPr>
        <w:t>严厉打击道路、水路运输非法违法行为，</w:t>
      </w:r>
      <w:r>
        <w:rPr>
          <w:rFonts w:hint="eastAsia" w:ascii="Times New Roman" w:hAnsi="Times New Roman" w:cs="Times New Roman"/>
          <w:b w:val="0"/>
          <w:bCs w:val="0"/>
          <w:sz w:val="32"/>
          <w:highlight w:val="none"/>
          <w:lang w:eastAsia="zh-CN"/>
        </w:rPr>
        <w:t>强化道路基础设施隐患排查整治</w:t>
      </w:r>
      <w:r>
        <w:rPr>
          <w:rFonts w:hint="eastAsia" w:cs="Times New Roman"/>
          <w:b w:val="0"/>
          <w:bCs w:val="0"/>
          <w:sz w:val="32"/>
          <w:highlight w:val="none"/>
          <w:lang w:eastAsia="zh-CN"/>
        </w:rPr>
        <w:t>，</w:t>
      </w:r>
      <w:r>
        <w:rPr>
          <w:rFonts w:hint="eastAsia" w:cs="Times New Roman"/>
          <w:b w:val="0"/>
          <w:bCs w:val="0"/>
          <w:sz w:val="32"/>
          <w:highlight w:val="none"/>
          <w:lang w:val="en-US" w:eastAsia="zh-CN"/>
        </w:rPr>
        <w:t>统筹</w:t>
      </w:r>
      <w:r>
        <w:rPr>
          <w:rFonts w:hint="eastAsia" w:ascii="Times New Roman" w:hAnsi="Times New Roman" w:cs="Times New Roman"/>
          <w:b w:val="0"/>
          <w:bCs w:val="0"/>
          <w:sz w:val="32"/>
          <w:highlight w:val="none"/>
          <w:lang w:eastAsia="zh-CN"/>
        </w:rPr>
        <w:t>做好国、省、县道及农村公路日常养护巡查、桥梁检查、清除路障、路面保洁、坑槽修补、边沟清理等工作</w:t>
      </w:r>
      <w:r>
        <w:rPr>
          <w:rFonts w:hint="eastAsia" w:cs="Times New Roman"/>
          <w:b w:val="0"/>
          <w:bCs w:val="0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楷体_GB2312" w:eastAsia="仿宋_GB2312" w:cs="楷体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交通领域噪声扰民专项整治。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排查出可能发生噪声扰民隐患的项目8个，对能够立即整改的7个问题，坚持立行立改；对三界镇种牛场附近山东路桥混凝土搅拌站问题，现已解决，整改验收申请书已经上报，等待销号。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交通环保整改</w:t>
      </w:r>
      <w:r>
        <w:rPr>
          <w:rFonts w:hint="eastAsia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问题。完成滁州市交通环保警示教育片交办的整改任务2个，并举一反三，查找问题立行立改。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cs="仿宋_GB2312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绿化工程专题整改。截至目前，共梳理了嘉山大桥上跨桥、G104绕城线两侧路肩绿化及边坡维护、新老G104交口绿化等项目绿化工程，绿化清查整治均已完成，未出现问题。</w:t>
      </w:r>
    </w:p>
    <w:p>
      <w:pPr>
        <w:pStyle w:val="7"/>
        <w:spacing w:line="560" w:lineRule="exact"/>
        <w:ind w:firstLine="640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（八）毫不放松认真完成各项经济指标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Times New Roman" w:eastAsia="楷体_GB2312" w:cs="楷体_GB2312"/>
          <w:b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根据年度计划，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认真做好我局牵头调度的客货物周转量、邮政业务增长总量、固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定资产投资、服务业纳统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五经普”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等工作，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保质保量完成年度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目标任务。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提前完成招商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引资年度目标任务，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招商企业常州市凯睿鑫汽车饰件有限公司签约投资2亿。</w:t>
      </w:r>
    </w:p>
    <w:p>
      <w:pPr>
        <w:pStyle w:val="12"/>
        <w:spacing w:after="0" w:line="560" w:lineRule="exact"/>
        <w:rPr>
          <w:rFonts w:hint="default" w:ascii="Times New Roman" w:hAnsi="Times New Roman" w:eastAsia="黑体" w:cs="Times New Roman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202</w:t>
      </w:r>
      <w:r>
        <w:rPr>
          <w:rFonts w:hint="eastAsia" w:eastAsia="黑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年工作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谋划情况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highlight w:val="none"/>
        </w:rPr>
        <w:t>2024年度</w:t>
      </w:r>
      <w:r>
        <w:rPr>
          <w:rFonts w:hint="eastAsia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highlight w:val="none"/>
        </w:rPr>
        <w:t>个项目建设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司巷互通计划完成项目整体施工任务，并完善交工验收准备工作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；G104明光段一级公路改建工程机场支路主体建设预计2024年7月完工；宁洛“四改八”开展路面施工与道改后路基施工，争取2024年6月竣工通车，加快推进G104明光段一级公路项目的全线路基土石方工程与部分路基结构工程；国省道养护工程、农村公路养护工程、农村公路安防工程完成招标和施工；乡村振兴道路完成路基、桥涵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二）积极推进项目前期工作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202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除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继续推进再建工程外，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highlight w:val="none"/>
          <w:lang w:val="en-US" w:eastAsia="zh-CN"/>
        </w:rPr>
        <w:t>S209苏巷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至涧溪段改建工程预计于2024年2月份完成土地预审、5月份完成土地组卷批复，同步推进招标等工作；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明光泊岗淮河公路大桥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准备于2024年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开始招标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；S209皖苏交界-紫潘公路段建设工程项目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计划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完成设计、开始招标；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G345项目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计划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尽快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拿到省林业局的关于穿老嘉山公园的意见函，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争取2024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年2月拿到自然资源部批复、工可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上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专家审查会并取得发改委批复，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val="en-US" w:eastAsia="zh-CN"/>
        </w:rPr>
        <w:t>其他项目按照序时进度一一推进</w:t>
      </w:r>
      <w:r>
        <w:rPr>
          <w:rFonts w:hint="eastAsia" w:cs="Times New Roman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努力打造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highlight w:val="none"/>
          <w:lang w:val="en-US" w:eastAsia="zh-CN" w:bidi="ar"/>
        </w:rPr>
        <w:t>城乡客运一体化发展升级版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强化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公交基础设施建设，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继续完成城市公交新一轮经营权确定工作，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在运力投放、线网布局、站点设置上方便群众，加大线路覆盖率。拓展城乡公交服务范围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根据人民群众出行需求，进一步优化、拓展城乡公交汽车线网布局，逐步、有序开行镇村公交</w:t>
      </w:r>
      <w:r>
        <w:rPr>
          <w:rFonts w:hint="eastAsia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12"/>
        <w:spacing w:after="0" w:line="560" w:lineRule="exact"/>
        <w:ind w:left="0" w:leftChars="0" w:firstLine="640"/>
        <w:rPr>
          <w:rFonts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有效强化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</w:rPr>
        <w:t>运输市场管理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推进机动车维修和驾驶员培训行业高质量、规范化发展，强化行业监管和信誉考核，引导、培育机动车维修行业向品牌化、专业化、高质量发展；强化驾培行业源头管理，提升服务能力；加强出租汽车从业人员职业教育、培训和日常管理，规范出租汽车经营行为；建立与出租汽车经营者联系沟通机制，密切关注市场动态，维护行业稳定和健康发展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（五）进一步推进道路运输安全管理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严厉打击各类违法违规经营行为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，加强公路违法超限超载行为治理，推进客运市场规范运行，打击非法营运，强化源头治理，开展常态化联合执法。针对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火车站和汽车站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客运车辆争抢客源的乱象，开展执法巡查，对非法营运进行查处，净化站前周边环境。</w:t>
      </w:r>
    </w:p>
    <w:p>
      <w:pPr>
        <w:pStyle w:val="12"/>
        <w:spacing w:after="0" w:line="560" w:lineRule="exact"/>
        <w:ind w:left="0" w:leftChars="0" w:firstLine="64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六）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shd w:val="clear" w:color="auto" w:fill="FFFFFF"/>
        </w:rPr>
        <w:t>扎实做好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文明创建工作</w:t>
      </w:r>
    </w:p>
    <w:p>
      <w:pPr>
        <w:pStyle w:val="12"/>
        <w:spacing w:after="0" w:line="560" w:lineRule="exact"/>
        <w:ind w:left="0" w:leftChars="0" w:firstLine="640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持续对汽车站、火车站、公交车和出租车及公交站文明创建监督检查力度，强化对包保辖区内常态化日常宣传和人居环境改善，不断提升创建水平，积极维护好明光市文明城市创建成果。</w:t>
      </w:r>
    </w:p>
    <w:p>
      <w:pPr>
        <w:pStyle w:val="12"/>
        <w:spacing w:after="0" w:line="560" w:lineRule="exact"/>
        <w:ind w:left="0" w:leftChars="0" w:firstLine="64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七）加强党建引领，全力推进主题教育走深走实</w:t>
      </w:r>
    </w:p>
    <w:p>
      <w:pPr>
        <w:pStyle w:val="12"/>
        <w:spacing w:after="0" w:line="560" w:lineRule="exact"/>
        <w:ind w:left="0" w:leftChars="0"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持续深入学习贯彻党的二十大精神，扎实开展主题教育，压实全面从严治党责任，强化作风建设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，紧紧围绕学思想、强党性、重实践、建新功的总体要求，坚持学思贯通，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将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集体学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个人自学相结合，注重成果转化和问题整改。</w:t>
      </w:r>
    </w:p>
    <w:p>
      <w:pPr>
        <w:pStyle w:val="12"/>
        <w:spacing w:after="0" w:line="560" w:lineRule="exact"/>
        <w:ind w:left="0" w:leftChars="0" w:firstLine="64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）切实完成各项经济指标</w:t>
      </w:r>
    </w:p>
    <w:p>
      <w:pPr>
        <w:pStyle w:val="12"/>
        <w:spacing w:after="0" w:line="560" w:lineRule="exact"/>
        <w:ind w:left="0" w:leftChars="0" w:firstLine="64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采取以月保季、以季保年的扎实举措，认真做好各项经济指标调度工作，确保完成年度目标任务。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线上线下多渠道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寻找招商引资途径，宣传明光营商政策，并密切跟进在手的招商引资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线索，争取项目落地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12"/>
        <w:spacing w:after="0" w:line="560" w:lineRule="exact"/>
        <w:ind w:left="0" w:leftChars="0"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B8839"/>
    <w:multiLevelType w:val="singleLevel"/>
    <w:tmpl w:val="84EB88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B40433"/>
    <w:multiLevelType w:val="singleLevel"/>
    <w:tmpl w:val="4FB404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434430B"/>
    <w:rsid w:val="066575C1"/>
    <w:rsid w:val="06BD1B51"/>
    <w:rsid w:val="0AFB3396"/>
    <w:rsid w:val="0BF856F1"/>
    <w:rsid w:val="13F41DDD"/>
    <w:rsid w:val="146E467B"/>
    <w:rsid w:val="167C30C3"/>
    <w:rsid w:val="193379CE"/>
    <w:rsid w:val="21447E52"/>
    <w:rsid w:val="214811A2"/>
    <w:rsid w:val="296A2695"/>
    <w:rsid w:val="2A525154"/>
    <w:rsid w:val="2E0E2877"/>
    <w:rsid w:val="32ED5077"/>
    <w:rsid w:val="34F25884"/>
    <w:rsid w:val="379C3F8B"/>
    <w:rsid w:val="39A42825"/>
    <w:rsid w:val="3AC614FF"/>
    <w:rsid w:val="3DAE32BB"/>
    <w:rsid w:val="44DD0E3B"/>
    <w:rsid w:val="477F6F8C"/>
    <w:rsid w:val="4E4E10B8"/>
    <w:rsid w:val="4F8C5541"/>
    <w:rsid w:val="50B036AC"/>
    <w:rsid w:val="50EC7A19"/>
    <w:rsid w:val="54EF3D87"/>
    <w:rsid w:val="575C1BDA"/>
    <w:rsid w:val="5C480E38"/>
    <w:rsid w:val="5C501AD9"/>
    <w:rsid w:val="5D043AC3"/>
    <w:rsid w:val="5E10533A"/>
    <w:rsid w:val="6017749F"/>
    <w:rsid w:val="601D6044"/>
    <w:rsid w:val="63843577"/>
    <w:rsid w:val="6A7F1B30"/>
    <w:rsid w:val="6CD32F8C"/>
    <w:rsid w:val="76A6375C"/>
    <w:rsid w:val="76AD1908"/>
    <w:rsid w:val="7AC131CB"/>
    <w:rsid w:val="7C9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880" w:firstLineChars="200"/>
      <w:outlineLvl w:val="0"/>
    </w:pPr>
    <w:rPr>
      <w:rFonts w:eastAsia="黑体"/>
      <w:b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0" w:firstLineChars="200"/>
      <w:outlineLvl w:val="1"/>
    </w:pPr>
    <w:rPr>
      <w:rFonts w:eastAsia="楷体_GB2312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880" w:firstLineChars="200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ind w:firstLine="880" w:firstLineChars="200"/>
      <w:outlineLvl w:val="3"/>
    </w:pPr>
  </w:style>
  <w:style w:type="character" w:default="1" w:styleId="14">
    <w:name w:val="Default Paragraph Font"/>
    <w:autoRedefine/>
    <w:semiHidden/>
    <w:qFormat/>
    <w:uiPriority w:val="0"/>
    <w:rPr>
      <w:rFonts w:ascii="Calibri" w:hAnsi="Calibri" w:eastAsia="宋体"/>
      <w:sz w:val="21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ody Text"/>
    <w:basedOn w:val="1"/>
    <w:autoRedefine/>
    <w:qFormat/>
    <w:uiPriority w:val="0"/>
    <w:pPr>
      <w:spacing w:line="240" w:lineRule="atLeast"/>
      <w:ind w:firstLine="883" w:firstLineChars="200"/>
    </w:pPr>
    <w:rPr>
      <w:rFonts w:ascii="Times New Roman" w:hAnsi="Times New Roman" w:eastAsia="宋体"/>
      <w:sz w:val="28"/>
    </w:rPr>
  </w:style>
  <w:style w:type="paragraph" w:styleId="8">
    <w:name w:val="Body Text Indent"/>
    <w:basedOn w:val="1"/>
    <w:qFormat/>
    <w:uiPriority w:val="0"/>
    <w:pPr>
      <w:widowControl w:val="0"/>
      <w:spacing w:after="0" w:line="360" w:lineRule="auto"/>
      <w:ind w:firstLine="538" w:firstLineChars="192"/>
      <w:jc w:val="both"/>
    </w:pPr>
    <w:rPr>
      <w:rFonts w:ascii="Times New Roman" w:hAnsi="Times New Roman" w:eastAsia="宋体" w:cs="Times New Roman"/>
      <w:kern w:val="2"/>
      <w:sz w:val="24"/>
      <w:szCs w:val="24"/>
      <w:lang w:eastAsia="zh-CN" w:bidi="ar-SA"/>
    </w:rPr>
  </w:style>
  <w:style w:type="paragraph" w:styleId="9">
    <w:name w:val="Plain Text"/>
    <w:basedOn w:val="1"/>
    <w:autoRedefine/>
    <w:qFormat/>
    <w:uiPriority w:val="0"/>
    <w:pPr>
      <w:spacing w:line="240" w:lineRule="auto"/>
      <w:ind w:firstLine="0" w:firstLineChars="0"/>
    </w:pPr>
    <w:rPr>
      <w:rFonts w:ascii="宋体" w:hAnsi="宋体" w:eastAsia="宋体"/>
      <w:sz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8"/>
    <w:autoRedefine/>
    <w:qFormat/>
    <w:uiPriority w:val="99"/>
    <w:pPr>
      <w:ind w:firstLine="420" w:firstLineChars="200"/>
    </w:pPr>
  </w:style>
  <w:style w:type="character" w:styleId="15">
    <w:name w:val="Strong"/>
    <w:basedOn w:val="14"/>
    <w:qFormat/>
    <w:uiPriority w:val="22"/>
    <w:rPr>
      <w:b/>
      <w:bCs/>
    </w:rPr>
  </w:style>
  <w:style w:type="paragraph" w:customStyle="1" w:styleId="16">
    <w:name w:val="主标题"/>
    <w:basedOn w:val="1"/>
    <w:next w:val="1"/>
    <w:autoRedefine/>
    <w:qFormat/>
    <w:uiPriority w:val="0"/>
    <w:pPr>
      <w:keepNext/>
      <w:keepLines/>
      <w:spacing w:before="260" w:beforeLines="0" w:after="260" w:afterLines="0" w:line="560" w:lineRule="exact"/>
      <w:ind w:firstLine="0" w:firstLineChars="0"/>
      <w:jc w:val="center"/>
      <w:outlineLvl w:val="1"/>
    </w:pPr>
    <w:rPr>
      <w:rFonts w:eastAsia="方正小标宋简体"/>
      <w:sz w:val="44"/>
    </w:rPr>
  </w:style>
  <w:style w:type="paragraph" w:customStyle="1" w:styleId="17">
    <w:name w:val="单位名称/日期"/>
    <w:basedOn w:val="1"/>
    <w:autoRedefine/>
    <w:qFormat/>
    <w:uiPriority w:val="0"/>
    <w:pPr>
      <w:keepNext/>
      <w:keepLines/>
      <w:spacing w:before="260" w:beforeLines="0" w:after="260" w:afterLines="0" w:line="560" w:lineRule="exact"/>
      <w:ind w:firstLine="0" w:firstLineChars="0"/>
      <w:jc w:val="center"/>
      <w:outlineLvl w:val="1"/>
    </w:pPr>
    <w:rPr>
      <w:rFonts w:eastAsia="楷体_GB2312"/>
      <w:sz w:val="32"/>
    </w:rPr>
  </w:style>
  <w:style w:type="character" w:customStyle="1" w:styleId="18">
    <w:name w:val="bjh-p"/>
    <w:basedOn w:val="1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4846</Words>
  <Characters>5022</Characters>
  <Lines>0</Lines>
  <Paragraphs>0</Paragraphs>
  <TotalTime>6</TotalTime>
  <ScaleCrop>false</ScaleCrop>
  <LinksUpToDate>false</LinksUpToDate>
  <CharactersWithSpaces>5023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2022-01-07T00:37:00Z</dcterms:created>
  <dc:creator>交通局9-14</dc:creator>
  <cp:lastModifiedBy>lx</cp:lastModifiedBy>
  <cp:lastPrinted>2023-11-16T07:05:00Z</cp:lastPrinted>
  <dcterms:modified xsi:type="dcterms:W3CDTF">2024-04-22T00:07:35Z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FAD3C8A16C684BDAB85D8ADAA6FF6C8E</vt:lpwstr>
  </property>
</Properties>
</file>