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明光市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新建标准化生猪屠宰加工厂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实施方案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根据《中华人民共和国动物防疫法》《中华人民共和国环境保护法》《生猪屠宰管理条例》等相关法律法规，县域范围内，生猪应实现集中定点屠宰。目前，我市生猪定点屠宰企业为</w:t>
      </w:r>
      <w:r>
        <w:rPr>
          <w:rFonts w:hint="eastAsia" w:ascii="仿宋_GB2312" w:hAnsi="仿宋_GB2312" w:eastAsia="仿宋_GB2312" w:cs="仿宋_GB2312"/>
          <w:sz w:val="32"/>
          <w:szCs w:val="32"/>
        </w:rPr>
        <w:t>明光市鸿泰生猪定点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，位于明光街道办事处蔬菜村桥东组。该场建于2008年，生产能力为年屠宰生猪4万头。根据当初合同约定，经营权将于2023年5月19日到期。为切实保障全市人民肉食品供应，依据上述法规和</w:t>
      </w:r>
      <w:r>
        <w:rPr>
          <w:rFonts w:hint="eastAsia" w:ascii="Times New Roman" w:hAnsi="Times New Roman" w:eastAsia="仿宋_GB2312"/>
          <w:sz w:val="32"/>
          <w:szCs w:val="32"/>
        </w:rPr>
        <w:t>《安徽省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十四五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生猪屠宰行业发展规划（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2025</w:t>
      </w:r>
      <w:r>
        <w:rPr>
          <w:rFonts w:hint="eastAsia" w:ascii="Times New Roman" w:hAnsi="Times New Roman" w:eastAsia="仿宋_GB2312"/>
          <w:sz w:val="32"/>
          <w:szCs w:val="32"/>
        </w:rPr>
        <w:t>年）》，现就我市生猪定点经营权处置提出如下方案。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2008年5月，通过产权交易所竞拍，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明光市鸿泰生猪定点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获得明光城区机械化生猪定点屠宰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15年经营权，并于当年5月19日签订的经营权交易协议。按照该协议规定，该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生猪定点屠宰经营权将于2023年5月18日到期。近年来，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由于城市规划建设，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已处于城区居民集中区，屠宰产生的噪音、气味和污水严重影响了周边居民生活。根据我市城区规划，城南大道和体育路将穿越该生猪定点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所目前住址已不符合《动物防疫法》和《动物防疫条件审查办法》的规定。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同时，鸿泰生猪定点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建场已近15年，其生产设施设备、屠宰工艺等已不符合《生猪屠宰管理条例》和《生猪定点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（场）资质等级要求》规定要求。鉴于以上情况，应重新选址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标准化生猪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二、目标任务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《安徽省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十四五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生猪屠宰行业发展规划（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2025</w:t>
      </w:r>
      <w:r>
        <w:rPr>
          <w:rFonts w:hint="eastAsia" w:ascii="Times New Roman" w:hAnsi="Times New Roman" w:eastAsia="仿宋_GB2312"/>
          <w:sz w:val="32"/>
          <w:szCs w:val="32"/>
        </w:rPr>
        <w:t>年）》规定，明光市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只</w:t>
      </w:r>
      <w:r>
        <w:rPr>
          <w:rFonts w:hint="eastAsia" w:ascii="Times New Roman" w:hAnsi="Times New Roman" w:eastAsia="仿宋_GB2312"/>
          <w:sz w:val="32"/>
          <w:szCs w:val="32"/>
        </w:rPr>
        <w:t>能设置一家生猪定点屠宰企业，因此必须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增一减一（</w:t>
      </w:r>
      <w:r>
        <w:rPr>
          <w:rFonts w:ascii="Times New Roman" w:hAnsi="Times New Roman" w:eastAsia="仿宋_GB2312"/>
          <w:sz w:val="32"/>
          <w:szCs w:val="32"/>
        </w:rPr>
        <w:t>N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原则进行减量置换，在关闭原生猪定点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屠宰场</w:t>
      </w:r>
      <w:r>
        <w:rPr>
          <w:rFonts w:hint="eastAsia" w:ascii="Times New Roman" w:hAnsi="Times New Roman" w:eastAsia="仿宋_GB2312"/>
          <w:sz w:val="32"/>
          <w:szCs w:val="32"/>
        </w:rPr>
        <w:t>的基础上新设生猪屠宰加工厂。通过独家经营权招标出让方式，确定明光市标准化生猪屠宰加工厂经营主体。到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3年底前，新建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家</w:t>
      </w:r>
      <w:r>
        <w:rPr>
          <w:rFonts w:ascii="Times New Roman" w:hAnsi="Times New Roman" w:eastAsia="仿宋_GB2312"/>
          <w:sz w:val="32"/>
          <w:szCs w:val="32"/>
        </w:rPr>
        <w:t>3A</w:t>
      </w:r>
      <w:r>
        <w:rPr>
          <w:rFonts w:hint="eastAsia" w:ascii="Times New Roman" w:hAnsi="Times New Roman" w:eastAsia="仿宋_GB2312"/>
          <w:sz w:val="32"/>
          <w:szCs w:val="32"/>
        </w:rPr>
        <w:t>级以上、年屠宰生猪</w:t>
      </w:r>
      <w:r>
        <w:rPr>
          <w:rFonts w:ascii="Times New Roman" w:hAnsi="Times New Roman" w:eastAsia="仿宋_GB2312"/>
          <w:sz w:val="32"/>
          <w:szCs w:val="32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万头的现代化、标准化生猪屠宰加工企业，该企业要建立完善的冷链化定点配送肉品销售网点，能够通过冷链配送保障全市各乡镇街道肉品供应。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三、标准和要求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基本条件。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在桥头镇绿色食品产业园选址50亩土地，进行带条件出让，专门用于建设标准化生猪屠宰加工厂。中标方必须在规定期限内按照《生猪定点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（场）资质等级要求》（NYT3348-2018）规定的 3A 级及以上标准，完成生猪定点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（场）建设，并在通过专家组验收合格后投产。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提升条件。</w:t>
      </w:r>
      <w:r>
        <w:rPr>
          <w:rFonts w:hint="eastAsia" w:ascii="Times New Roman" w:hAnsi="Times New Roman" w:eastAsia="仿宋_GB2312"/>
          <w:sz w:val="32"/>
          <w:szCs w:val="32"/>
        </w:rPr>
        <w:t>坚持高起点设计、高标准建设、高质量发展理念，新建生猪屠宰企业必须在设施设备、检疫检验、质量追溯、冷链运输、病害产品无害化处理等方面开展标准化建设，实现质量管理制度化、厂区环境整洁化、设施设备标准化、生产经营规模化、检测检验科学化、排放处理无害化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（三）其他条件。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生猪屠宰特许经营权授权期限</w:t>
      </w:r>
      <w:r>
        <w:rPr>
          <w:rFonts w:ascii="Times New Roman" w:hAnsi="Times New Roman" w:eastAsia="仿宋_GB2312"/>
          <w:sz w:val="32"/>
          <w:szCs w:val="32"/>
          <w:highlight w:val="none"/>
        </w:rPr>
        <w:t>15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年。特许经营期满后，中标方无偿将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屠宰场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所有的有形资产和特许经营权移交给明光市人民政府；由明光市政府对特许经营权和资产重新做出处置。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为解决招标时两家以上竞标，附带中标方按年度额外向明光市政府缴纳经营权有偿使用费，起拍价为每年50万元，投标方在投标时一次性报价，出价高的中标。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四、操作程序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  <w:highlight w:val="yellow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yellow"/>
        </w:rPr>
        <w:t>立项。</w:t>
      </w:r>
      <w:r>
        <w:rPr>
          <w:rFonts w:hint="eastAsia" w:ascii="Times New Roman" w:hAnsi="Times New Roman" w:eastAsia="仿宋_GB2312"/>
          <w:sz w:val="32"/>
          <w:szCs w:val="32"/>
          <w:highlight w:val="yellow"/>
        </w:rPr>
        <w:t>由市农业农村部门向市发改委申请立项。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选址。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由市农业农村部门、自然资源规划、住建、生态环境等部门参与，对拟新建生猪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屠宰场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用地进行选址。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  <w:highlight w:val="none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报批。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待选址确定后，由市人民政府根据相关规定向滁州市人民政府申请新建生猪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屠宰场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，具体业务由市农业农村局代表市政府办理。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  <w:highlight w:val="none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招标。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由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市农业农村局按照相关规定，拟定招标文件，组织生猪屠宰特许经营权招标。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  <w:highlight w:val="none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其他。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中标企业在规定时间内，按照本《方案》规定的标准开展项目设计，设计方案由市农业农村部门组织省内外相关专家进行评审，并报市规划委员会审议，审议通过后方可开工建设。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五、保障措施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（一）收回经营权。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原生猪定点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屠宰场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经营权2023年5月到期，市人民政府按协议约定及时收回原生猪定点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屠宰场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生猪定点屠宰经营权。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highlight w:val="none"/>
        </w:rPr>
        <w:t>市场供应。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为保障新生猪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建设期间市场猪肉产品供应，在新建生猪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投入使用前，由市政府与原生猪定点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签订延长经营期限临时性协议，保障过渡期的市场猪肉产品供应。同时，要求原生猪定点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屠宰场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对目前存在的问题限期整改，确保上市猪肉产品质量安全。</w:t>
      </w:r>
    </w:p>
    <w:p>
      <w:pPr>
        <w:spacing w:line="560" w:lineRule="exact"/>
        <w:ind w:firstLine="643" w:firstLineChars="200"/>
        <w:rPr>
          <w:highlight w:val="none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  <w:highlight w:val="none"/>
        </w:rPr>
        <w:t>（二）各司其职。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自然资源规划部门依法对拟建生猪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屠宰场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块办理土地利用审批手续。生态环境部门依法对项目设计进行环境评价，并监督中标方落实环保“三同时”制度。供电部门保障项目建设和运行期间的电力供应，落实相关用电扶持政策。供水部门要指导中标方做好用水设施建设规划，保障建设和运行期间用水供应。在建设过程中，市农业农村部门按照《生猪屠宰管理条例》《生猪屠宰检疫规程》对相关人员同步进行业务培训和考核，考核合格持证上岗。项目建成后，由市农业农村部门组织相关部门和专家对项目建设进行联合验收，验收合格后方可投入运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Yjg0Y2U5ZGE0YTgxNWU2ZTlkMGI3MDY5OGZhZDUifQ=="/>
  </w:docVars>
  <w:rsids>
    <w:rsidRoot w:val="00C93CCF"/>
    <w:rsid w:val="0063458C"/>
    <w:rsid w:val="00B21199"/>
    <w:rsid w:val="00C93CCF"/>
    <w:rsid w:val="00CA5251"/>
    <w:rsid w:val="00CD6279"/>
    <w:rsid w:val="00D458BE"/>
    <w:rsid w:val="00E07BFC"/>
    <w:rsid w:val="00EC01BF"/>
    <w:rsid w:val="02DD0E97"/>
    <w:rsid w:val="1CBE322C"/>
    <w:rsid w:val="21A0070A"/>
    <w:rsid w:val="40607F33"/>
    <w:rsid w:val="674F4EAC"/>
    <w:rsid w:val="7BA569D1"/>
    <w:rsid w:val="7E2723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1918</Words>
  <Characters>1970</Characters>
  <Lines>14</Lines>
  <Paragraphs>4</Paragraphs>
  <TotalTime>957</TotalTime>
  <ScaleCrop>false</ScaleCrop>
  <LinksUpToDate>false</LinksUpToDate>
  <CharactersWithSpaces>1972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2023-01-22T04:02:00Z</dcterms:created>
  <dc:creator>退役军人事务局</dc:creator>
  <cp:lastModifiedBy>曾新国18225828707</cp:lastModifiedBy>
  <cp:lastPrinted>2023-02-06T09:03:00Z</cp:lastPrinted>
  <dcterms:modified xsi:type="dcterms:W3CDTF">2023-02-07T05:33:07Z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8878DBFB564B45BBB88403F1AF121DEF</vt:lpwstr>
  </property>
</Properties>
</file>